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i w:val="0"/>
          <w:color w:val="0F6BA8"/>
          <w:sz w:val="16"/>
        </w:rPr>
        <w:t>NHS  •  NICE NG87  •  WHO ASRS  •  DSM 5 TR</w:t>
      </w:r>
    </w:p>
    <w:p>
      <w:r>
        <w:rPr>
          <w:b/>
          <w:color w:val="0F3B5C"/>
          <w:sz w:val="60"/>
        </w:rPr>
        <w:t>ADHD Assessment</w:t>
        <w:br/>
        <w:t>Preparation Pack</w:t>
      </w:r>
    </w:p>
    <w:p>
      <w:pPr>
        <w:spacing w:after="200"/>
      </w:pPr>
      <w:r>
        <w:rPr>
          <w:b w:val="0"/>
          <w:i w:val="0"/>
          <w:color w:val="4A5568"/>
          <w:sz w:val="24"/>
        </w:rPr>
        <w:t>A complete workbook to prepare for an NHS or Right to Choose assessment, modelled on the Psychiatry UK doctor led assessment described by Dr Lucy Baker.</w:t>
      </w:r>
    </w:p>
    <w:tbl>
      <w:tblPr>
        <w:tblStyle w:val="TableGrid"/>
        <w:tblW w:type="auto" w:w="0"/>
        <w:tblLook w:firstColumn="1" w:firstRow="1" w:lastColumn="0" w:lastRow="0" w:noHBand="0" w:noVBand="1" w:val="04A0"/>
      </w:tblPr>
      <w:tblGrid>
        <w:gridCol w:w="10224"/>
      </w:tblGrid>
      <w:tr>
        <w:tc>
          <w:tcPr>
            <w:tcW w:type="dxa" w:w="10224"/>
            <w:shd w:fill="EAF2F8"/>
          </w:tcPr>
          <w:p>
            <w:r/>
            <w:r>
              <w:rPr>
                <w:b/>
                <w:color w:val="0F3B5C"/>
              </w:rPr>
              <w:t xml:space="preserve">Important: </w:t>
            </w:r>
            <w:r>
              <w:t>This pack helps you prepare. It does not diagnose ADHD. Only a specialist assessment can do that. No questionnaire in this pack measures IQ. IQ can only be measured by a standardised test given by a trained psychologist, such as the Wechsler Adult Intelligence Scale.</w:t>
            </w:r>
          </w:p>
        </w:tc>
      </w:tr>
    </w:tbl>
    <w:p>
      <w:pPr>
        <w:spacing w:after="40"/>
      </w:pPr>
    </w:p>
    <w:p>
      <w:pPr>
        <w:spacing w:after="100"/>
      </w:pPr>
      <w:r>
        <w:rPr>
          <w:b/>
          <w:i w:val="0"/>
          <w:color w:val="0F3B5C"/>
          <w:sz w:val="22"/>
        </w:rPr>
        <w:t>Who this pack is for</w:t>
      </w:r>
    </w:p>
    <w:p>
      <w:pPr>
        <w:pStyle w:val="ListBullet"/>
        <w:spacing w:after="40"/>
      </w:pPr>
      <w:r>
        <w:t>Adults waiting for an NHS ADHD assessment, including through Right to Choose providers such as Psychiatry UK</w:t>
      </w:r>
    </w:p>
    <w:p>
      <w:pPr>
        <w:pStyle w:val="ListBullet"/>
        <w:spacing w:after="40"/>
      </w:pPr>
      <w:r>
        <w:t>Parents or carers preparing for a child or young person assessment, completing the childhood sections with school reports to hand</w:t>
      </w:r>
    </w:p>
    <w:p>
      <w:pPr>
        <w:pStyle w:val="ListBullet"/>
        <w:spacing w:after="40"/>
      </w:pPr>
      <w:r>
        <w:t>Partners, parents, siblings and childhood friends asked to give an informant report</w:t>
      </w:r>
    </w:p>
    <w:p>
      <w:pPr>
        <w:pStyle w:val="ListBullet"/>
        <w:spacing w:after="40"/>
      </w:pPr>
      <w:r>
        <w:t>GPs and clinicians who want a tidy summary before the appointment</w:t>
      </w:r>
    </w:p>
    <w:p>
      <w:pPr>
        <w:spacing w:after="100"/>
      </w:pPr>
      <w:r>
        <w:rPr>
          <w:b/>
          <w:i w:val="0"/>
          <w:color w:val="0F3B5C"/>
          <w:sz w:val="22"/>
        </w:rPr>
        <w:t>What is inside</w:t>
      </w:r>
    </w:p>
    <w:p>
      <w:pPr>
        <w:pStyle w:val="ListBullet"/>
        <w:spacing w:after="40"/>
      </w:pPr>
      <w:r>
        <w:t>A plain English overview of what the assessment covers and why each part matters</w:t>
      </w:r>
    </w:p>
    <w:p>
      <w:pPr>
        <w:pStyle w:val="ListBullet"/>
        <w:spacing w:after="40"/>
      </w:pPr>
      <w:r>
        <w:t>A 100 question self report workbook with space for childhood and adult examples</w:t>
      </w:r>
    </w:p>
    <w:p>
      <w:pPr>
        <w:pStyle w:val="ListBullet"/>
        <w:spacing w:after="40"/>
      </w:pPr>
      <w:r>
        <w:t>A separate informant report you can print and hand to someone else</w:t>
      </w:r>
    </w:p>
    <w:p>
      <w:pPr>
        <w:pStyle w:val="ListBullet"/>
        <w:spacing w:after="40"/>
      </w:pPr>
      <w:r>
        <w:t>A one page GP summary checklist</w:t>
      </w:r>
    </w:p>
    <w:p>
      <w:pPr>
        <w:pStyle w:val="ListBullet"/>
        <w:spacing w:after="40"/>
      </w:pPr>
      <w:r>
        <w:t>A documents checklist and timeline worksheet</w:t>
      </w:r>
    </w:p>
    <w:p>
      <w:pPr>
        <w:pStyle w:val="ListBullet"/>
        <w:spacing w:after="40"/>
      </w:pPr>
      <w:r>
        <w:t>A medication and titration monitoring sheet to use only if medication is offered after a diagnosis</w:t>
      </w:r>
    </w:p>
    <w:p>
      <w:pPr>
        <w:spacing w:after="100"/>
      </w:pPr>
      <w:r>
        <w:rPr>
          <w:b w:val="0"/>
          <w:i w:val="0"/>
          <w:sz w:val="20"/>
        </w:rPr>
        <w:t>How to complete it: Work through it over a few sittings, not in one rush. Write real examples, with dates and places where you can. Short honest examples help a clinician far more than long general descriptions. Bring the completed pack, your school reports and this GP summary to the appointment.</w:t>
      </w:r>
    </w:p>
    <w:p>
      <w:pPr>
        <w:spacing w:after="100"/>
      </w:pPr>
      <w:r>
        <w:rPr>
          <w:b w:val="0"/>
          <w:i/>
          <w:color w:val="4A5568"/>
          <w:sz w:val="17"/>
        </w:rPr>
        <w:t>Sources are listed on the last page. Clinical details in the Psychiatry UK sections come from the overview supplied for this pack, attributed to Dr Lucy Baker, and are presented as that provider model rather than as a national mandate. Where a figure is uncertain, the pack says so.</w:t>
      </w:r>
    </w:p>
    <w:p>
      <w:r>
        <w:br w:type="page"/>
      </w:r>
    </w:p>
    <w:p>
      <w:pPr>
        <w:pStyle w:val="Heading1"/>
      </w:pPr>
      <w:r>
        <w:t>How to use this pack</w:t>
      </w:r>
    </w:p>
    <w:p>
      <w:pPr>
        <w:spacing w:after="100"/>
      </w:pPr>
      <w:r>
        <w:rPr>
          <w:b w:val="0"/>
          <w:i w:val="0"/>
          <w:sz w:val="20"/>
        </w:rPr>
        <w:t>An NHS assessment is not a single short conversation. The clinician reads your forms and GP summary in advance, interviews you in detail, reviews collateral from someone who knows you, checks physical and mental health, assesses risk and safeguarding throughout, and then writes a report and letters. Total clinician time is several hours, even though your live appointment may be shorter.</w:t>
      </w:r>
    </w:p>
    <w:tbl>
      <w:tblPr>
        <w:tblStyle w:val="TableGrid"/>
        <w:tblW w:type="auto" w:w="0"/>
        <w:tblLook w:firstColumn="1" w:firstRow="1" w:lastColumn="0" w:lastRow="0" w:noHBand="0" w:noVBand="1" w:val="04A0"/>
      </w:tblPr>
      <w:tblGrid>
        <w:gridCol w:w="10224"/>
      </w:tblGrid>
      <w:tr>
        <w:tc>
          <w:tcPr>
            <w:tcW w:type="dxa" w:w="10224"/>
            <w:shd w:fill="EAF2F8"/>
          </w:tcPr>
          <w:p>
            <w:r/>
            <w:r>
              <w:rPr>
                <w:b/>
                <w:color w:val="0F3B5C"/>
              </w:rPr>
              <w:t xml:space="preserve">A common misunderstanding: </w:t>
            </w:r>
            <w:r>
              <w:t>The National Institute for Health and Care Excellence, known as NICE, does not set a minimum assessment length in Guideline NG87. A claim that an assessment must last 90 minutes is not a NICE mandate. Quality is judged by what was covered, not by the clock alone.</w:t>
            </w:r>
          </w:p>
        </w:tc>
      </w:tr>
    </w:tbl>
    <w:p>
      <w:pPr>
        <w:spacing w:after="40"/>
      </w:pPr>
    </w:p>
    <w:p>
      <w:pPr>
        <w:pStyle w:val="Heading2"/>
      </w:pPr>
      <w:r>
        <w:t>Complete the pack in this order</w:t>
      </w:r>
    </w:p>
    <w:p>
      <w:pPr>
        <w:pStyle w:val="ListNumber"/>
        <w:spacing w:after="40"/>
      </w:pPr>
      <w:r>
        <w:t>Timeline worksheet at the back. Dates for schools, jobs and key life events make the history questions much easier.</w:t>
      </w:r>
    </w:p>
    <w:p>
      <w:pPr>
        <w:pStyle w:val="ListNumber"/>
        <w:spacing w:after="40"/>
      </w:pPr>
      <w:r>
        <w:t>Self report workbook, Questions 1 to 100. Ask family for help with early childhood memories.</w:t>
      </w:r>
    </w:p>
    <w:p>
      <w:pPr>
        <w:pStyle w:val="ListNumber"/>
        <w:spacing w:after="40"/>
      </w:pPr>
      <w:r>
        <w:t>Informant report. Give it to your chosen person early, so they have time to think and to find old memories or reports.</w:t>
      </w:r>
    </w:p>
    <w:p>
      <w:pPr>
        <w:pStyle w:val="ListNumber"/>
        <w:spacing w:after="40"/>
      </w:pPr>
      <w:r>
        <w:t>GP summary checklist. Ask your GP practice for a patient summary if you do not know your medicines, conditions or recent results.</w:t>
      </w:r>
    </w:p>
    <w:p>
      <w:pPr>
        <w:pStyle w:val="ListNumber"/>
        <w:spacing w:after="40"/>
      </w:pPr>
      <w:r>
        <w:t>Documents checklist. Gather school reports, work appraisals and any previous psychology, speech and language or occupational therapy reports.</w:t>
      </w:r>
    </w:p>
    <w:p>
      <w:pPr>
        <w:pStyle w:val="Heading2"/>
      </w:pPr>
      <w:r>
        <w:t>Choosing an informant</w:t>
      </w:r>
    </w:p>
    <w:p>
      <w:pPr>
        <w:spacing w:after="100"/>
      </w:pPr>
      <w:r>
        <w:rPr>
          <w:b w:val="0"/>
          <w:i w:val="0"/>
          <w:sz w:val="20"/>
        </w:rPr>
        <w:t>The best informant is someone who knew you as a child and still knows you now, such as a parent, an older sibling or a childhood friend. If that is not possible, choose someone who knows you well now and say clearly that they cannot comment on childhood. The clinician will record the gap rather than treat it as a problem you caused.</w:t>
      </w:r>
    </w:p>
    <w:p>
      <w:pPr>
        <w:spacing w:after="100"/>
      </w:pPr>
      <w:r>
        <w:rPr>
          <w:b w:val="0"/>
          <w:i w:val="0"/>
          <w:sz w:val="20"/>
        </w:rPr>
        <w:t>Tell your informant to be honest and specific, even where their memory differs from yours. Differing memories are normal and useful. Clinicians expect them.</w:t>
      </w:r>
    </w:p>
    <w:p>
      <w:pPr>
        <w:pStyle w:val="Heading1"/>
      </w:pPr>
      <w:r>
        <w:t>What an NHS assessment involves</w:t>
      </w:r>
    </w:p>
    <w:p>
      <w:pPr>
        <w:spacing w:after="100"/>
      </w:pPr>
      <w:r>
        <w:rPr>
          <w:b w:val="0"/>
          <w:i w:val="0"/>
          <w:sz w:val="20"/>
        </w:rPr>
        <w:t>Psychiatry UK describes a fully doctor and psychiatrist led, remote model. Other NHS providers may use a wider team, including specialist nurses, pharmacists and psychologists, working under specialist supervision. NICE NG87 requires a specialist assessment, a full clinical and psychosocial history, a developmental history, observer reports where possible, and a mental health assessment. Rating scales support that work. They do not replace it.</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0F3B5C"/>
          </w:tcPr>
          <w:p>
            <w:r/>
            <w:r>
              <w:rPr>
                <w:b/>
                <w:color w:val="FFFFFF"/>
                <w:sz w:val="17"/>
              </w:rPr>
              <w:t>Part of the assessment</w:t>
            </w:r>
          </w:p>
        </w:tc>
        <w:tc>
          <w:tcPr>
            <w:tcW w:type="dxa" w:w="3408"/>
            <w:shd w:fill="0F3B5C"/>
          </w:tcPr>
          <w:p>
            <w:r/>
            <w:r>
              <w:rPr>
                <w:b/>
                <w:color w:val="FFFFFF"/>
                <w:sz w:val="17"/>
              </w:rPr>
              <w:t>What happens</w:t>
            </w:r>
          </w:p>
        </w:tc>
        <w:tc>
          <w:tcPr>
            <w:tcW w:type="dxa" w:w="3408"/>
            <w:shd w:fill="0F3B5C"/>
          </w:tcPr>
          <w:p>
            <w:r/>
            <w:r>
              <w:rPr>
                <w:b/>
                <w:color w:val="FFFFFF"/>
                <w:sz w:val="17"/>
              </w:rPr>
              <w:t>Why it matters</w:t>
            </w:r>
          </w:p>
        </w:tc>
      </w:tr>
      <w:tr>
        <w:tc>
          <w:tcPr>
            <w:tcW w:type="dxa" w:w="3408"/>
          </w:tcPr>
          <w:p>
            <w:r/>
            <w:r>
              <w:rPr>
                <w:sz w:val="17"/>
              </w:rPr>
              <w:t>Developmental and psychiatric history</w:t>
            </w:r>
          </w:p>
        </w:tc>
        <w:tc>
          <w:tcPr>
            <w:tcW w:type="dxa" w:w="3408"/>
          </w:tcPr>
          <w:p>
            <w:r/>
            <w:r>
              <w:rPr>
                <w:sz w:val="17"/>
              </w:rPr>
              <w:t>Pregnancy, birth, milestones, schooling, work, relationships, trauma and major life events are reviewed in detail.</w:t>
            </w:r>
          </w:p>
        </w:tc>
        <w:tc>
          <w:tcPr>
            <w:tcW w:type="dxa" w:w="3408"/>
          </w:tcPr>
          <w:p>
            <w:r/>
            <w:r>
              <w:rPr>
                <w:sz w:val="17"/>
              </w:rPr>
              <w:t>ADHD is a neurodevelopmental condition. The clinician must show that symptoms began in childhood and have persisted.</w:t>
            </w:r>
          </w:p>
        </w:tc>
      </w:tr>
      <w:tr>
        <w:tc>
          <w:tcPr>
            <w:tcW w:type="dxa" w:w="3408"/>
          </w:tcPr>
          <w:p>
            <w:r/>
            <w:r>
              <w:rPr>
                <w:sz w:val="17"/>
              </w:rPr>
              <w:t>Self report forms</w:t>
            </w:r>
          </w:p>
        </w:tc>
        <w:tc>
          <w:tcPr>
            <w:tcW w:type="dxa" w:w="3408"/>
          </w:tcPr>
          <w:p>
            <w:r/>
            <w:r>
              <w:rPr>
                <w:sz w:val="17"/>
              </w:rPr>
              <w:t>At Psychiatry UK this is about 100 questions, with childhood and adult examples for each area.</w:t>
            </w:r>
          </w:p>
        </w:tc>
        <w:tc>
          <w:tcPr>
            <w:tcW w:type="dxa" w:w="3408"/>
          </w:tcPr>
          <w:p>
            <w:r/>
            <w:r>
              <w:rPr>
                <w:sz w:val="17"/>
              </w:rPr>
              <w:t>Examples test whether a symptom is real, frequent and impairing, rather than a general feeling.</w:t>
            </w:r>
          </w:p>
        </w:tc>
      </w:tr>
      <w:tr>
        <w:tc>
          <w:tcPr>
            <w:tcW w:type="dxa" w:w="3408"/>
          </w:tcPr>
          <w:p>
            <w:r/>
            <w:r>
              <w:rPr>
                <w:sz w:val="17"/>
              </w:rPr>
              <w:t>Collateral report</w:t>
            </w:r>
          </w:p>
        </w:tc>
        <w:tc>
          <w:tcPr>
            <w:tcW w:type="dxa" w:w="3408"/>
          </w:tcPr>
          <w:p>
            <w:r/>
            <w:r>
              <w:rPr>
                <w:sz w:val="17"/>
              </w:rPr>
              <w:t>A parent, sibling, partner or childhood friend gives their own account.</w:t>
            </w:r>
          </w:p>
        </w:tc>
        <w:tc>
          <w:tcPr>
            <w:tcW w:type="dxa" w:w="3408"/>
          </w:tcPr>
          <w:p>
            <w:r/>
            <w:r>
              <w:rPr>
                <w:sz w:val="17"/>
              </w:rPr>
              <w:t>Self report alone is not enough. Another perspective helps confirm onset, settings and impairment.</w:t>
            </w:r>
          </w:p>
        </w:tc>
      </w:tr>
      <w:tr>
        <w:tc>
          <w:tcPr>
            <w:tcW w:type="dxa" w:w="3408"/>
          </w:tcPr>
          <w:p>
            <w:r/>
            <w:r>
              <w:rPr>
                <w:sz w:val="17"/>
              </w:rPr>
              <w:t>Physical health review</w:t>
            </w:r>
          </w:p>
        </w:tc>
        <w:tc>
          <w:tcPr>
            <w:tcW w:type="dxa" w:w="3408"/>
          </w:tcPr>
          <w:p>
            <w:r/>
            <w:r>
              <w:rPr>
                <w:sz w:val="17"/>
              </w:rPr>
              <w:t>GP summary, current medicines, conditions, blood pressure, pulse, height and weight.</w:t>
            </w:r>
          </w:p>
        </w:tc>
        <w:tc>
          <w:tcPr>
            <w:tcW w:type="dxa" w:w="3408"/>
          </w:tcPr>
          <w:p>
            <w:r/>
            <w:r>
              <w:rPr>
                <w:sz w:val="17"/>
              </w:rPr>
              <w:t>Some medical conditions mimic ADHD, and physical health decides whether medication would be safe.</w:t>
            </w:r>
          </w:p>
        </w:tc>
      </w:tr>
      <w:tr>
        <w:tc>
          <w:tcPr>
            <w:tcW w:type="dxa" w:w="3408"/>
          </w:tcPr>
          <w:p>
            <w:r/>
            <w:r>
              <w:rPr>
                <w:sz w:val="17"/>
              </w:rPr>
              <w:t>Mental health screening</w:t>
            </w:r>
          </w:p>
        </w:tc>
        <w:tc>
          <w:tcPr>
            <w:tcW w:type="dxa" w:w="3408"/>
          </w:tcPr>
          <w:p>
            <w:r/>
            <w:r>
              <w:rPr>
                <w:sz w:val="17"/>
              </w:rPr>
              <w:t>Anxiety, depression, bipolar disorder, post traumatic stress, substance use and autism are all screened.</w:t>
            </w:r>
          </w:p>
        </w:tc>
        <w:tc>
          <w:tcPr>
            <w:tcW w:type="dxa" w:w="3408"/>
          </w:tcPr>
          <w:p>
            <w:r/>
            <w:r>
              <w:rPr>
                <w:sz w:val="17"/>
              </w:rPr>
              <w:t>These conditions can mimic ADHD, mask it, or occur alongside it. Treatment order depends on getting this right.</w:t>
            </w:r>
          </w:p>
        </w:tc>
      </w:tr>
      <w:tr>
        <w:tc>
          <w:tcPr>
            <w:tcW w:type="dxa" w:w="3408"/>
          </w:tcPr>
          <w:p>
            <w:r/>
            <w:r>
              <w:rPr>
                <w:sz w:val="17"/>
              </w:rPr>
              <w:t>Risk and safeguarding</w:t>
            </w:r>
          </w:p>
        </w:tc>
        <w:tc>
          <w:tcPr>
            <w:tcW w:type="dxa" w:w="3408"/>
          </w:tcPr>
          <w:p>
            <w:r/>
            <w:r>
              <w:rPr>
                <w:sz w:val="17"/>
              </w:rPr>
              <w:t>Risk is categorised before the consultation by the admin team at Psychiatry UK, and assessed throughout. Suicidality, self harm, sexual abuse and forensic history are screened.</w:t>
            </w:r>
          </w:p>
        </w:tc>
        <w:tc>
          <w:tcPr>
            <w:tcW w:type="dxa" w:w="3408"/>
          </w:tcPr>
          <w:p>
            <w:r/>
            <w:r>
              <w:rPr>
                <w:sz w:val="17"/>
              </w:rPr>
              <w:t>Safety planning comes first. Confidentiality can be broken where there is a serious risk to you or to someone else, which should be explained at the start.</w:t>
            </w:r>
          </w:p>
        </w:tc>
      </w:tr>
      <w:tr>
        <w:tc>
          <w:tcPr>
            <w:tcW w:type="dxa" w:w="3408"/>
          </w:tcPr>
          <w:p>
            <w:r/>
            <w:r>
              <w:rPr>
                <w:sz w:val="17"/>
              </w:rPr>
              <w:t>Multidisciplinary discussion</w:t>
            </w:r>
          </w:p>
        </w:tc>
        <w:tc>
          <w:tcPr>
            <w:tcW w:type="dxa" w:w="3408"/>
          </w:tcPr>
          <w:p>
            <w:r/>
            <w:r>
              <w:rPr>
                <w:sz w:val="17"/>
              </w:rPr>
              <w:t>Borderline cases at Psychiatry UK are escalated to a regular multidisciplinary team meeting. The overview notes a team of about 400 doctors.</w:t>
            </w:r>
          </w:p>
        </w:tc>
        <w:tc>
          <w:tcPr>
            <w:tcW w:type="dxa" w:w="3408"/>
          </w:tcPr>
          <w:p>
            <w:r/>
            <w:r>
              <w:rPr>
                <w:sz w:val="17"/>
              </w:rPr>
              <w:t>A close call should not rest on one opinion. The team can request more evidence or conclude that another explanation fits better.</w:t>
            </w:r>
          </w:p>
        </w:tc>
      </w:tr>
    </w:tbl>
    <w:p>
      <w:pPr>
        <w:spacing w:after="40"/>
      </w:pPr>
    </w:p>
    <w:p>
      <w:pPr>
        <w:pStyle w:val="Heading2"/>
      </w:pPr>
      <w:r>
        <w:t>When a diagnosis can be made</w:t>
      </w:r>
    </w:p>
    <w:p>
      <w:pPr>
        <w:pStyle w:val="ListBullet"/>
        <w:spacing w:after="40"/>
      </w:pPr>
      <w:r>
        <w:t>Several symptoms were present before age 12, shown with examples or records, not only a vague memory of being restless.</w:t>
      </w:r>
    </w:p>
    <w:p>
      <w:pPr>
        <w:pStyle w:val="ListBullet"/>
        <w:spacing w:after="40"/>
      </w:pPr>
      <w:r>
        <w:t>Symptoms cause impairment in two or more domains, for example work and home, or school and social life.</w:t>
      </w:r>
    </w:p>
    <w:p>
      <w:pPr>
        <w:pStyle w:val="ListBullet"/>
        <w:spacing w:after="40"/>
      </w:pPr>
      <w:r>
        <w:t>Symptoms are not better explained by another condition alone.</w:t>
      </w:r>
    </w:p>
    <w:p>
      <w:pPr>
        <w:pStyle w:val="ListBullet"/>
        <w:spacing w:after="40"/>
      </w:pPr>
      <w:r>
        <w:t>Symptoms have persisted for at least six months and are present in two or more settings.</w:t>
      </w:r>
    </w:p>
    <w:p>
      <w:pPr>
        <w:spacing w:after="100"/>
      </w:pPr>
      <w:r>
        <w:rPr>
          <w:b w:val="0"/>
          <w:i w:val="0"/>
          <w:sz w:val="20"/>
        </w:rPr>
        <w:t>In adults, five or more symptoms in either the inattention domain or the hyperactivity and impulsivity domain can meet the symptom count in DSM 5 TR. For children and young people aged 16 and under, the count is six or more. Meeting the count without childhood onset, cross setting presence and impairment is not enough.</w:t>
      </w:r>
    </w:p>
    <w:p>
      <w:pPr>
        <w:pStyle w:val="Heading2"/>
      </w:pPr>
      <w:r>
        <w:t>Conditions that can mimic ADHD</w:t>
      </w:r>
    </w:p>
    <w:p>
      <w:pPr>
        <w:spacing w:after="100"/>
      </w:pPr>
      <w:r>
        <w:rPr>
          <w:b w:val="0"/>
          <w:i w:val="0"/>
          <w:sz w:val="20"/>
        </w:rPr>
        <w:t>The clinician will consider hypothyroidism, low blood sugar episodes, anxiety, depression, bipolar disorder, complex post traumatic stress disorder, substance use and autism. Sleep problems, especially sleep apnoea and long term sleep deprivation, learning differences, head injury and medication side effects can also produce inattention or restlessness. Naming these here does not rule ADHD in or out. It shows why a full health history matters.</w:t>
      </w:r>
    </w:p>
    <w:p>
      <w:pPr>
        <w:pStyle w:val="Heading2"/>
      </w:pPr>
      <w:r>
        <w:t>Conditions that often occur alongside ADHD</w:t>
      </w:r>
    </w:p>
    <w:p>
      <w:pPr>
        <w:spacing w:after="100"/>
      </w:pPr>
      <w:r>
        <w:rPr>
          <w:b w:val="0"/>
          <w:i w:val="0"/>
          <w:sz w:val="20"/>
        </w:rPr>
        <w:t>Published ranges vary by sample and setting. The overview supplied for this pack gives anxiety in 25 to 50 percent of cases, depression in about 25 percent and substance misuse in about 25 percent. Those ranges are broadly consistent with the clinical literature. The overview also gives a figure of about 78 percent for binge eating. Treat that figure with caution. It is much higher than most published estimates for a diagnosis of binge eating disorder in ADHD and may describe impulsive eating behaviours in a specific clinical sample. Do not use it as a general population rate.</w:t>
      </w:r>
    </w:p>
    <w:p>
      <w:pPr>
        <w:pStyle w:val="Heading2"/>
      </w:pPr>
      <w:r>
        <w:t>Demand and waiting times: handle figures with care</w:t>
      </w:r>
    </w:p>
    <w:p>
      <w:pPr>
        <w:spacing w:after="100"/>
      </w:pPr>
      <w:r>
        <w:rPr>
          <w:b w:val="0"/>
          <w:i w:val="0"/>
          <w:sz w:val="20"/>
        </w:rPr>
        <w:t>The overview supplied for this pack reports over 800,000 open NHS referrals for ADHD assessment as of March 2026, minimum two year waits in some Integrated Care Board areas including West Yorkshire and Greater Manchester, and an estimated economic cost of untreated ADHD of at least 17 billion pounds. These figures are reproduced here as reported in that overview, to explain system pressure. They change over time and by area. Check your own Integrated Care Board and provider for your current expected wait, and do not rely on a national figure to plan your own care.</w:t>
      </w:r>
    </w:p>
    <w:p>
      <w:r>
        <w:br w:type="page"/>
      </w:r>
    </w:p>
    <w:p>
      <w:pPr>
        <w:pStyle w:val="Heading1"/>
      </w:pPr>
      <w:r>
        <w:t>Self report workbook: 100 questions</w:t>
      </w:r>
    </w:p>
    <w:p>
      <w:pPr>
        <w:spacing w:after="100"/>
      </w:pPr>
      <w:r>
        <w:rPr>
          <w:b w:val="0"/>
          <w:i w:val="0"/>
          <w:sz w:val="20"/>
        </w:rPr>
        <w:t>Answer for your whole life where the question asks about childhood, and for the past six months where it asks about now. Write examples. If you cannot remember, write that you cannot remember and who might know. That is a useful answer.</w:t>
      </w:r>
    </w:p>
    <w:tbl>
      <w:tblPr>
        <w:tblStyle w:val="TableGrid"/>
        <w:tblW w:type="auto" w:w="0"/>
        <w:tblLook w:firstColumn="1" w:firstRow="1" w:lastColumn="0" w:lastRow="0" w:noHBand="0" w:noVBand="1" w:val="04A0"/>
      </w:tblPr>
      <w:tblGrid>
        <w:gridCol w:w="10224"/>
      </w:tblGrid>
      <w:tr>
        <w:tc>
          <w:tcPr>
            <w:tcW w:type="dxa" w:w="10224"/>
            <w:shd w:fill="EAF2F8"/>
          </w:tcPr>
          <w:p>
            <w:r/>
            <w:r>
              <w:rPr>
                <w:b/>
                <w:color w:val="0F3B5C"/>
              </w:rPr>
              <w:t xml:space="preserve">Rating scale: </w:t>
            </w:r>
            <w:r>
              <w:t>Where a rating is asked, use Never, Rarely, Sometimes, Often or Very Often. Base it on how you are in general, not on your best week or your worst week.</w:t>
            </w:r>
          </w:p>
        </w:tc>
      </w:tr>
    </w:tbl>
    <w:p>
      <w:pPr>
        <w:spacing w:after="40"/>
      </w:pPr>
    </w:p>
    <w:p>
      <w:pPr>
        <w:pStyle w:val="Heading2"/>
      </w:pPr>
      <w:r>
        <w:t>A. About you and your GP</w:t>
      </w:r>
    </w:p>
    <w:p>
      <w:pPr>
        <w:spacing w:after="20" w:before="120"/>
      </w:pPr>
      <w:r>
        <w:rPr>
          <w:b/>
          <w:sz w:val="20"/>
        </w:rPr>
        <w:t>1. Full name, date of birth and preferred name</w:t>
      </w:r>
    </w:p>
    <w:p>
      <w:pPr>
        <w:spacing w:after="40"/>
        <w:pBdr>
          <w:bottom w:val="single" w:sz="4" w:space="1" w:color="B0BEC5"/>
        </w:pBdr>
      </w:pPr>
    </w:p>
    <w:p>
      <w:pPr>
        <w:spacing w:after="20" w:before="120"/>
      </w:pPr>
      <w:r>
        <w:rPr>
          <w:b/>
          <w:sz w:val="20"/>
        </w:rPr>
        <w:t>2. Home address, phone number and email address</w:t>
      </w:r>
    </w:p>
    <w:p>
      <w:pPr>
        <w:spacing w:after="40"/>
        <w:pBdr>
          <w:bottom w:val="single" w:sz="4" w:space="1" w:color="B0BEC5"/>
        </w:pBdr>
      </w:pPr>
    </w:p>
    <w:p>
      <w:pPr>
        <w:spacing w:after="20" w:before="120"/>
      </w:pPr>
      <w:r>
        <w:rPr>
          <w:b/>
          <w:sz w:val="20"/>
        </w:rPr>
        <w:t>3. GP name, practice name and practice address</w:t>
      </w:r>
    </w:p>
    <w:p>
      <w:pPr>
        <w:spacing w:after="40"/>
        <w:pBdr>
          <w:bottom w:val="single" w:sz="4" w:space="1" w:color="B0BEC5"/>
        </w:pBdr>
      </w:pPr>
    </w:p>
    <w:p>
      <w:pPr>
        <w:spacing w:after="20" w:before="120"/>
      </w:pPr>
      <w:r>
        <w:rPr>
          <w:b/>
          <w:sz w:val="20"/>
        </w:rPr>
        <w:t>4. How would you like letters and results to be sent to you, and is it safe to leave messages</w:t>
      </w:r>
    </w:p>
    <w:p>
      <w:pPr>
        <w:spacing w:after="40"/>
      </w:pPr>
      <w:r>
        <w:rPr>
          <w:b w:val="0"/>
          <w:i/>
          <w:color w:val="4A5568"/>
          <w:sz w:val="17"/>
        </w:rPr>
        <w:t>Consider privacy at home and at work.</w:t>
      </w:r>
    </w:p>
    <w:p>
      <w:pPr>
        <w:spacing w:after="40"/>
        <w:pBdr>
          <w:bottom w:val="single" w:sz="4" w:space="1" w:color="B0BEC5"/>
        </w:pBdr>
      </w:pPr>
    </w:p>
    <w:p>
      <w:pPr>
        <w:spacing w:after="20" w:before="120"/>
      </w:pPr>
      <w:r>
        <w:rPr>
          <w:b/>
          <w:sz w:val="20"/>
        </w:rPr>
        <w:t>5. Do you need an interpreter, large print, extra time, captions or any other adjustment for a remote appointment</w:t>
      </w:r>
    </w:p>
    <w:p>
      <w:pPr>
        <w:spacing w:after="40"/>
        <w:pBdr>
          <w:bottom w:val="single" w:sz="4" w:space="1" w:color="B0BEC5"/>
        </w:pBdr>
      </w:pPr>
    </w:p>
    <w:p>
      <w:pPr>
        <w:spacing w:after="20" w:before="120"/>
      </w:pPr>
      <w:r>
        <w:rPr>
          <w:b/>
          <w:sz w:val="20"/>
        </w:rPr>
        <w:t>6. Who requested this assessment and what question do you most want it to answer</w:t>
      </w:r>
    </w:p>
    <w:p>
      <w:pPr>
        <w:spacing w:after="40"/>
        <w:pBdr>
          <w:bottom w:val="single" w:sz="4" w:space="1" w:color="B0BEC5"/>
        </w:pBdr>
      </w:pPr>
    </w:p>
    <w:p>
      <w:pPr>
        <w:spacing w:after="20" w:before="120"/>
      </w:pPr>
      <w:r>
        <w:rPr>
          <w:b/>
          <w:sz w:val="20"/>
        </w:rPr>
        <w:t>7. What would a helpful outcome look like for you, whether or not a diagnosis is given</w:t>
      </w:r>
    </w:p>
    <w:p>
      <w:pPr>
        <w:spacing w:after="40"/>
        <w:pBdr>
          <w:bottom w:val="single" w:sz="4" w:space="1" w:color="B0BEC5"/>
        </w:pBdr>
      </w:pPr>
    </w:p>
    <w:p>
      <w:pPr>
        <w:spacing w:after="20" w:before="120"/>
      </w:pPr>
      <w:r>
        <w:rPr>
          <w:b/>
          <w:sz w:val="20"/>
        </w:rPr>
        <w:t>8. Is anyone supporting you with this process, and may the clinician contact them</w:t>
      </w:r>
    </w:p>
    <w:p>
      <w:pPr>
        <w:spacing w:after="40"/>
      </w:pPr>
      <w:r>
        <w:rPr>
          <w:b w:val="0"/>
          <w:i/>
          <w:color w:val="4A5568"/>
          <w:sz w:val="17"/>
        </w:rPr>
        <w:t>Give their name, relationship and contact details, or state that you do not give permission.</w:t>
      </w:r>
    </w:p>
    <w:p>
      <w:pPr>
        <w:spacing w:after="40"/>
        <w:pBdr>
          <w:bottom w:val="single" w:sz="4" w:space="1" w:color="B0BEC5"/>
        </w:pBdr>
      </w:pPr>
    </w:p>
    <w:p>
      <w:pPr>
        <w:pStyle w:val="Heading2"/>
      </w:pPr>
      <w:r>
        <w:t>B. Early life, development and schooling</w:t>
      </w:r>
    </w:p>
    <w:p>
      <w:pPr>
        <w:spacing w:after="20" w:before="120"/>
      </w:pPr>
      <w:r>
        <w:rPr>
          <w:b/>
          <w:sz w:val="20"/>
        </w:rPr>
        <w:t>9. What do you know about the pregnancy and your birth</w:t>
      </w:r>
    </w:p>
    <w:p>
      <w:pPr>
        <w:spacing w:after="40"/>
      </w:pPr>
      <w:r>
        <w:rPr>
          <w:b w:val="0"/>
          <w:i/>
          <w:color w:val="4A5568"/>
          <w:sz w:val="17"/>
        </w:rPr>
        <w:t>Include prematurity, birth weight and any complications, if known.</w:t>
      </w:r>
    </w:p>
    <w:p>
      <w:pPr>
        <w:spacing w:after="40"/>
        <w:pBdr>
          <w:bottom w:val="single" w:sz="4" w:space="1" w:color="B0BEC5"/>
        </w:pBdr>
      </w:pPr>
    </w:p>
    <w:p>
      <w:pPr>
        <w:spacing w:after="20" w:before="120"/>
      </w:pPr>
      <w:r>
        <w:rPr>
          <w:b/>
          <w:sz w:val="20"/>
        </w:rPr>
        <w:t>10. Were there any concerns about your early development</w:t>
      </w:r>
    </w:p>
    <w:p>
      <w:pPr>
        <w:spacing w:after="40"/>
      </w:pPr>
      <w:r>
        <w:rPr>
          <w:b w:val="0"/>
          <w:i/>
          <w:color w:val="4A5568"/>
          <w:sz w:val="17"/>
        </w:rPr>
        <w:t>Feeding, sleep, settling and temperament as a baby and toddler.</w:t>
      </w:r>
    </w:p>
    <w:p>
      <w:pPr>
        <w:spacing w:after="40"/>
        <w:pBdr>
          <w:bottom w:val="single" w:sz="4" w:space="1" w:color="B0BEC5"/>
        </w:pBdr>
      </w:pPr>
    </w:p>
    <w:p>
      <w:pPr>
        <w:spacing w:after="20" w:before="120"/>
      </w:pPr>
      <w:r>
        <w:rPr>
          <w:b/>
          <w:sz w:val="20"/>
        </w:rPr>
        <w:t>11. When did you walk, say first words and speak in sentences, as far as you know</w:t>
      </w:r>
    </w:p>
    <w:p>
      <w:pPr>
        <w:spacing w:after="40"/>
      </w:pPr>
      <w:r>
        <w:rPr>
          <w:b w:val="0"/>
          <w:i/>
          <w:color w:val="4A5568"/>
          <w:sz w:val="17"/>
        </w:rPr>
        <w:t>State if this comes from family memory, a health record or a guess.</w:t>
      </w:r>
    </w:p>
    <w:p>
      <w:pPr>
        <w:spacing w:after="40"/>
        <w:pBdr>
          <w:bottom w:val="single" w:sz="4" w:space="1" w:color="B0BEC5"/>
        </w:pBdr>
      </w:pPr>
    </w:p>
    <w:p>
      <w:pPr>
        <w:spacing w:after="20" w:before="120"/>
      </w:pPr>
      <w:r>
        <w:rPr>
          <w:b/>
          <w:sz w:val="20"/>
        </w:rPr>
        <w:t>12. How were your motor skills as a child</w:t>
      </w:r>
    </w:p>
    <w:p>
      <w:pPr>
        <w:spacing w:after="40"/>
      </w:pPr>
      <w:r>
        <w:rPr>
          <w:b w:val="0"/>
          <w:i/>
          <w:color w:val="4A5568"/>
          <w:sz w:val="17"/>
        </w:rPr>
        <w:t>Handwriting, ball skills, balance, clumsiness and any occupational therapy.</w:t>
      </w:r>
    </w:p>
    <w:p>
      <w:pPr>
        <w:spacing w:after="40"/>
        <w:pBdr>
          <w:bottom w:val="single" w:sz="4" w:space="1" w:color="B0BEC5"/>
        </w:pBdr>
      </w:pPr>
    </w:p>
    <w:p>
      <w:pPr>
        <w:spacing w:after="20" w:before="120"/>
      </w:pPr>
      <w:r>
        <w:rPr>
          <w:b/>
          <w:sz w:val="20"/>
        </w:rPr>
        <w:t>13. How was your speech, language and social development</w:t>
      </w:r>
    </w:p>
    <w:p>
      <w:pPr>
        <w:spacing w:after="40"/>
      </w:pPr>
      <w:r>
        <w:rPr>
          <w:b w:val="0"/>
          <w:i/>
          <w:color w:val="4A5568"/>
          <w:sz w:val="17"/>
        </w:rPr>
        <w:t>Making friends, taking turns, listening, understanding instructions.</w:t>
      </w:r>
    </w:p>
    <w:p>
      <w:pPr>
        <w:spacing w:after="40"/>
        <w:pBdr>
          <w:bottom w:val="single" w:sz="4" w:space="1" w:color="B0BEC5"/>
        </w:pBdr>
      </w:pPr>
    </w:p>
    <w:p>
      <w:pPr>
        <w:spacing w:after="20" w:before="120"/>
      </w:pPr>
      <w:r>
        <w:rPr>
          <w:b/>
          <w:sz w:val="20"/>
        </w:rPr>
        <w:t>14. Describe your behaviour at nursery or preschool</w:t>
      </w:r>
    </w:p>
    <w:p>
      <w:pPr>
        <w:spacing w:after="40"/>
      </w:pPr>
      <w:r>
        <w:rPr>
          <w:b w:val="0"/>
          <w:i/>
          <w:color w:val="4A5568"/>
          <w:sz w:val="17"/>
        </w:rPr>
        <w:t>Sitting, listening, following routines, play and tantrums.</w:t>
      </w:r>
    </w:p>
    <w:p>
      <w:pPr>
        <w:spacing w:after="40"/>
        <w:pBdr>
          <w:bottom w:val="single" w:sz="4" w:space="1" w:color="B0BEC5"/>
        </w:pBdr>
      </w:pPr>
    </w:p>
    <w:p>
      <w:pPr>
        <w:spacing w:after="20" w:before="120"/>
      </w:pPr>
      <w:r>
        <w:rPr>
          <w:b/>
          <w:sz w:val="20"/>
        </w:rPr>
        <w:t>15. Describe primary school. What did teachers most often write in reports</w:t>
      </w:r>
    </w:p>
    <w:p>
      <w:pPr>
        <w:spacing w:after="40"/>
      </w:pPr>
      <w:r>
        <w:rPr>
          <w:b w:val="0"/>
          <w:i/>
          <w:color w:val="4A5568"/>
          <w:sz w:val="17"/>
        </w:rPr>
        <w:t>Quote exact report phrases where you can.</w:t>
      </w:r>
    </w:p>
    <w:p>
      <w:pPr>
        <w:spacing w:after="40"/>
        <w:pBdr>
          <w:bottom w:val="single" w:sz="4" w:space="1" w:color="B0BEC5"/>
        </w:pBdr>
      </w:pPr>
    </w:p>
    <w:p>
      <w:pPr>
        <w:spacing w:after="20" w:before="120"/>
      </w:pPr>
      <w:r>
        <w:rPr>
          <w:b/>
          <w:sz w:val="20"/>
        </w:rPr>
        <w:t>16. Describe secondary school. What changed as demands increased</w:t>
      </w:r>
    </w:p>
    <w:p>
      <w:pPr>
        <w:spacing w:after="40"/>
      </w:pPr>
      <w:r>
        <w:rPr>
          <w:b w:val="0"/>
          <w:i/>
          <w:color w:val="4A5568"/>
          <w:sz w:val="17"/>
        </w:rPr>
        <w:t>Organisation, homework, revision, exams, detentions and exclusions.</w:t>
      </w:r>
    </w:p>
    <w:p>
      <w:pPr>
        <w:spacing w:after="40"/>
        <w:pBdr>
          <w:bottom w:val="single" w:sz="4" w:space="1" w:color="B0BEC5"/>
        </w:pBdr>
      </w:pPr>
    </w:p>
    <w:p>
      <w:pPr>
        <w:spacing w:after="20" w:before="120"/>
      </w:pPr>
      <w:r>
        <w:rPr>
          <w:b/>
          <w:sz w:val="20"/>
        </w:rPr>
        <w:t>17. How did you manage homework, coursework and deadlines</w:t>
      </w:r>
    </w:p>
    <w:p>
      <w:pPr>
        <w:spacing w:after="40"/>
      </w:pPr>
      <w:r>
        <w:rPr>
          <w:b w:val="0"/>
          <w:i/>
          <w:color w:val="4A5568"/>
          <w:sz w:val="17"/>
        </w:rPr>
        <w:t>What help did you get, and what happened without it.</w:t>
      </w:r>
    </w:p>
    <w:p>
      <w:pPr>
        <w:spacing w:after="40"/>
        <w:pBdr>
          <w:bottom w:val="single" w:sz="4" w:space="1" w:color="B0BEC5"/>
        </w:pBdr>
      </w:pPr>
    </w:p>
    <w:p>
      <w:pPr>
        <w:spacing w:after="20" w:before="120"/>
      </w:pPr>
      <w:r>
        <w:rPr>
          <w:b/>
          <w:sz w:val="20"/>
        </w:rPr>
        <w:t>18. Were you bullied, or did you struggle with friendships at school</w:t>
      </w:r>
    </w:p>
    <w:p>
      <w:pPr>
        <w:spacing w:after="40"/>
      </w:pPr>
      <w:r>
        <w:rPr>
          <w:b w:val="0"/>
          <w:i/>
          <w:color w:val="4A5568"/>
          <w:sz w:val="17"/>
        </w:rPr>
        <w:t>Give examples and say how long it lasted.</w:t>
      </w:r>
    </w:p>
    <w:p>
      <w:pPr>
        <w:spacing w:after="40"/>
        <w:pBdr>
          <w:bottom w:val="single" w:sz="4" w:space="1" w:color="B0BEC5"/>
        </w:pBdr>
      </w:pPr>
    </w:p>
    <w:p>
      <w:pPr>
        <w:spacing w:after="20" w:before="120"/>
      </w:pPr>
      <w:r>
        <w:rPr>
          <w:b/>
          <w:sz w:val="20"/>
        </w:rPr>
        <w:t>19. Did you receive extra help at school, an individual plan or an education, health and care plan</w:t>
      </w:r>
    </w:p>
    <w:p>
      <w:pPr>
        <w:spacing w:after="40"/>
      </w:pPr>
      <w:r>
        <w:rPr>
          <w:b w:val="0"/>
          <w:i/>
          <w:color w:val="4A5568"/>
          <w:sz w:val="17"/>
        </w:rPr>
        <w:t>Name the help and whether it worked.</w:t>
      </w:r>
    </w:p>
    <w:p>
      <w:pPr>
        <w:spacing w:after="40"/>
        <w:pBdr>
          <w:bottom w:val="single" w:sz="4" w:space="1" w:color="B0BEC5"/>
        </w:pBdr>
      </w:pPr>
    </w:p>
    <w:p>
      <w:pPr>
        <w:spacing w:after="20" w:before="120"/>
      </w:pPr>
      <w:r>
        <w:rPr>
          <w:b/>
          <w:sz w:val="20"/>
        </w:rPr>
        <w:t>20. What were your school results compared with what teachers expected of you</w:t>
      </w:r>
    </w:p>
    <w:p>
      <w:pPr>
        <w:spacing w:after="40"/>
      </w:pPr>
      <w:r>
        <w:rPr>
          <w:b w:val="0"/>
          <w:i/>
          <w:color w:val="4A5568"/>
          <w:sz w:val="17"/>
        </w:rPr>
        <w:t>Underachievement relative to ability is often noted in adult assessments.</w:t>
      </w:r>
    </w:p>
    <w:p>
      <w:pPr>
        <w:spacing w:after="40"/>
        <w:pBdr>
          <w:bottom w:val="single" w:sz="4" w:space="1" w:color="B0BEC5"/>
        </w:pBdr>
      </w:pPr>
    </w:p>
    <w:p>
      <w:pPr>
        <w:spacing w:after="20" w:before="120"/>
      </w:pPr>
      <w:r>
        <w:rPr>
          <w:b/>
          <w:sz w:val="20"/>
        </w:rPr>
        <w:t>21. Describe further or higher education, training or apprenticeships, if any</w:t>
      </w:r>
    </w:p>
    <w:p>
      <w:pPr>
        <w:spacing w:after="40"/>
      </w:pPr>
      <w:r>
        <w:rPr>
          <w:b w:val="0"/>
          <w:i/>
          <w:color w:val="4A5568"/>
          <w:sz w:val="17"/>
        </w:rPr>
        <w:t>Starting, finishing, changing course and reasons.</w:t>
      </w:r>
    </w:p>
    <w:p>
      <w:pPr>
        <w:spacing w:after="40"/>
        <w:pBdr>
          <w:bottom w:val="single" w:sz="4" w:space="1" w:color="B0BEC5"/>
        </w:pBdr>
      </w:pPr>
    </w:p>
    <w:p>
      <w:pPr>
        <w:spacing w:after="20" w:before="120"/>
      </w:pPr>
      <w:r>
        <w:rPr>
          <w:b/>
          <w:sz w:val="20"/>
        </w:rPr>
        <w:t>22. Describe your work history, including job changes and reasons for leaving</w:t>
      </w:r>
    </w:p>
    <w:p>
      <w:pPr>
        <w:spacing w:after="40"/>
        <w:pBdr>
          <w:bottom w:val="single" w:sz="4" w:space="1" w:color="B0BEC5"/>
        </w:pBdr>
      </w:pPr>
    </w:p>
    <w:p>
      <w:pPr>
        <w:spacing w:after="20" w:before="120"/>
      </w:pPr>
      <w:r>
        <w:rPr>
          <w:b/>
          <w:sz w:val="20"/>
        </w:rPr>
        <w:t>23. Have you had accidents, injuries or head injuries at any age</w:t>
      </w:r>
    </w:p>
    <w:p>
      <w:pPr>
        <w:spacing w:after="40"/>
      </w:pPr>
      <w:r>
        <w:rPr>
          <w:b w:val="0"/>
          <w:i/>
          <w:color w:val="4A5568"/>
          <w:sz w:val="17"/>
        </w:rPr>
        <w:t>Include concussion and loss of consciousness.</w:t>
      </w:r>
    </w:p>
    <w:p>
      <w:pPr>
        <w:spacing w:after="40"/>
        <w:pBdr>
          <w:bottom w:val="single" w:sz="4" w:space="1" w:color="B0BEC5"/>
        </w:pBdr>
      </w:pPr>
    </w:p>
    <w:p>
      <w:pPr>
        <w:spacing w:after="20" w:before="120"/>
      </w:pPr>
      <w:r>
        <w:rPr>
          <w:b/>
          <w:sz w:val="20"/>
        </w:rPr>
        <w:t>24. Are there any major life events, losses or traumatic experiences the clinician should know about</w:t>
      </w:r>
    </w:p>
    <w:p>
      <w:pPr>
        <w:spacing w:after="40"/>
      </w:pPr>
      <w:r>
        <w:rPr>
          <w:b w:val="0"/>
          <w:i/>
          <w:color w:val="4A5568"/>
          <w:sz w:val="17"/>
        </w:rPr>
        <w:t>Write only what you are ready to share. You can say you would prefer to discuss this in the appointment.</w:t>
      </w:r>
    </w:p>
    <w:p>
      <w:pPr>
        <w:spacing w:after="40"/>
        <w:pBdr>
          <w:bottom w:val="single" w:sz="4" w:space="1" w:color="B0BEC5"/>
        </w:pBdr>
      </w:pPr>
    </w:p>
    <w:p>
      <w:pPr>
        <w:pStyle w:val="Heading2"/>
      </w:pPr>
      <w:r>
        <w:t>C. The 18 core symptoms, with examples</w:t>
      </w:r>
    </w:p>
    <w:p>
      <w:pPr>
        <w:spacing w:after="100"/>
      </w:pPr>
      <w:r>
        <w:rPr>
          <w:b w:val="0"/>
          <w:i w:val="0"/>
          <w:sz w:val="20"/>
        </w:rPr>
        <w:t>Questions 25 to 42 are the nine inattention symptoms and the nine hyperactivity and impulsivity symptoms in DSM 5 TR. For each one, circle the rating and write one childhood example and one adult example. If a symptom does not apply, circle Never and move on. Honest Never answers strengthen the answers where you say Very Often.</w:t>
      </w:r>
    </w:p>
    <w:p>
      <w:pPr>
        <w:spacing w:after="100"/>
      </w:pPr>
      <w:r>
        <w:rPr>
          <w:b/>
          <w:i w:val="0"/>
          <w:color w:val="0F3B5C"/>
          <w:sz w:val="20"/>
        </w:rPr>
        <w:t>Inattention</w:t>
      </w:r>
    </w:p>
    <w:p>
      <w:pPr>
        <w:spacing w:after="20" w:before="100"/>
      </w:pPr>
      <w:r>
        <w:rPr>
          <w:b/>
          <w:sz w:val="19"/>
        </w:rPr>
        <w:t>25. I make careless mistakes or overlook details at work, at school or in other activities</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26. I have difficulty keeping my attention on tasks or conversations</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27. I do not seem to listen when I am spoken to directly</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28. I do not follow through on instructions and I fail to finish work, chores or duties</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29. I have difficulty organising tasks and activities</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30. I avoid, dislike or put off tasks that need sustained mental effort</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31. I lose things I need, such as keys, phone, wallet, paperwork or glasses</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32. I am easily distracted by things around me or by my own thoughts</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33. I am forgetful in daily activities, such as paying bills, returning calls or keeping appointments</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100"/>
      </w:pPr>
      <w:r>
        <w:rPr>
          <w:b/>
          <w:i w:val="0"/>
          <w:color w:val="0F3B5C"/>
          <w:sz w:val="20"/>
        </w:rPr>
        <w:t>Hyperactivity and impulsivity</w:t>
      </w:r>
    </w:p>
    <w:p>
      <w:pPr>
        <w:spacing w:after="100"/>
      </w:pPr>
      <w:r>
        <w:rPr>
          <w:b w:val="0"/>
          <w:i/>
          <w:color w:val="4A5568"/>
          <w:sz w:val="18"/>
        </w:rPr>
        <w:t>In adults, hyperactivity is often an inner feeling of restlessness rather than running or climbing. Describe what it feels like in your body and what you do to settle it.</w:t>
      </w:r>
    </w:p>
    <w:p>
      <w:pPr>
        <w:spacing w:after="20" w:before="100"/>
      </w:pPr>
      <w:r>
        <w:rPr>
          <w:b/>
          <w:sz w:val="19"/>
        </w:rPr>
        <w:t>34. I fidget with or tap my hands or feet, or I squirm in my seat</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35. I leave my seat when I am expected to stay seated</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36. I feel restless, or as a child I ran about or climbed when it was not appropriate</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37. I find it hard to do leisure activities quietly</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38. I feel on the go, as if driven by a motor</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39. I talk excessively</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40. I blurt out an answer before a question has been finished</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41. I have difficulty waiting my turn</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p>
      <w:pPr>
        <w:spacing w:after="20" w:before="100"/>
      </w:pPr>
      <w:r>
        <w:rPr>
          <w:b/>
          <w:sz w:val="19"/>
        </w:rPr>
        <w:t>42. I interrupt or intrude on others, for example in conversations or by taking over what they are doing</w:t>
      </w:r>
    </w:p>
    <w:p>
      <w:pPr>
        <w:spacing w:after="20"/>
      </w:pPr>
      <w:r>
        <w:rPr>
          <w:b w:val="0"/>
          <w:i w:val="0"/>
          <w:color w:val="4A5568"/>
          <w:sz w:val="17"/>
        </w:rPr>
        <w:t>Circle one:  Never  /  Rarely  /  Sometimes  /  Often  /  Very Often     Childhood example:</w:t>
      </w:r>
    </w:p>
    <w:p>
      <w:pPr>
        <w:spacing w:after="40"/>
        <w:pBdr>
          <w:bottom w:val="single" w:sz="4" w:space="1" w:color="B0BEC5"/>
        </w:pBdr>
      </w:pPr>
    </w:p>
    <w:p>
      <w:pPr>
        <w:spacing w:after="20"/>
      </w:pPr>
      <w:r>
        <w:rPr>
          <w:b w:val="0"/>
          <w:i w:val="0"/>
          <w:color w:val="4A5568"/>
          <w:sz w:val="17"/>
        </w:rPr>
        <w:t>Adult example in the past 6 months:</w:t>
      </w:r>
    </w:p>
    <w:p>
      <w:pPr>
        <w:spacing w:after="40"/>
        <w:pBdr>
          <w:bottom w:val="single" w:sz="4" w:space="1" w:color="B0BEC5"/>
        </w:pBdr>
      </w:pPr>
    </w:p>
    <w:tbl>
      <w:tblPr>
        <w:tblStyle w:val="TableGrid"/>
        <w:tblW w:type="auto" w:w="0"/>
        <w:tblLook w:firstColumn="1" w:firstRow="1" w:lastColumn="0" w:lastRow="0" w:noHBand="0" w:noVBand="1" w:val="04A0"/>
      </w:tblPr>
      <w:tblGrid>
        <w:gridCol w:w="10224"/>
      </w:tblGrid>
      <w:tr>
        <w:tc>
          <w:tcPr>
            <w:tcW w:type="dxa" w:w="10224"/>
            <w:shd w:fill="EAF2F8"/>
          </w:tcPr>
          <w:p>
            <w:r/>
            <w:r>
              <w:rPr>
                <w:b/>
                <w:color w:val="0F3B5C"/>
              </w:rPr>
              <w:t xml:space="preserve">World Health Organization screener: </w:t>
            </w:r>
            <w:r>
              <w:t>Questions 25, 29, 33, 30, 34 and 38 closely match the six questions in Part A of the Adult ADHD Self Report Scale, version 1.1. In the original scoring, Sometimes, Often or Very Often counts as positive for the first three, and Often or Very Often counts as positive for the last three. Four or more positives is a positive screen. A positive screen means a full assessment is warranted. It is not a diagnosis, and a negative screen does not rule ADHD out.</w:t>
            </w:r>
          </w:p>
        </w:tc>
      </w:tr>
    </w:tbl>
    <w:p>
      <w:pPr>
        <w:spacing w:after="40"/>
      </w:pPr>
    </w:p>
    <w:p>
      <w:pPr>
        <w:pStyle w:val="Heading2"/>
      </w:pPr>
      <w:r>
        <w:t>D. How symptoms affect daily life</w:t>
      </w:r>
    </w:p>
    <w:p>
      <w:pPr>
        <w:spacing w:after="100"/>
      </w:pPr>
      <w:r>
        <w:rPr>
          <w:b w:val="0"/>
          <w:i w:val="0"/>
          <w:sz w:val="20"/>
        </w:rPr>
        <w:t>Rate impact from 0 to 10 in each question, where 0 means no impact and 10 means severe impact, then give an example.</w:t>
      </w:r>
    </w:p>
    <w:p>
      <w:pPr>
        <w:spacing w:after="20" w:before="120"/>
      </w:pPr>
      <w:r>
        <w:rPr>
          <w:b/>
          <w:sz w:val="20"/>
        </w:rPr>
        <w:t>43. Impact on work or study, including lateness, errors, missed deadlines and conflict</w:t>
      </w:r>
    </w:p>
    <w:p>
      <w:pPr>
        <w:spacing w:after="40"/>
        <w:pBdr>
          <w:bottom w:val="single" w:sz="4" w:space="1" w:color="B0BEC5"/>
        </w:pBdr>
      </w:pPr>
    </w:p>
    <w:p>
      <w:pPr>
        <w:spacing w:after="20" w:before="120"/>
      </w:pPr>
      <w:r>
        <w:rPr>
          <w:b/>
          <w:sz w:val="20"/>
        </w:rPr>
        <w:t>44. Impact on home management, including bills, paperwork, chores and appointments</w:t>
      </w:r>
    </w:p>
    <w:p>
      <w:pPr>
        <w:spacing w:after="40"/>
        <w:pBdr>
          <w:bottom w:val="single" w:sz="4" w:space="1" w:color="B0BEC5"/>
        </w:pBdr>
      </w:pPr>
    </w:p>
    <w:p>
      <w:pPr>
        <w:spacing w:after="20" w:before="120"/>
      </w:pPr>
      <w:r>
        <w:rPr>
          <w:b/>
          <w:sz w:val="20"/>
        </w:rPr>
        <w:t>45. Impact on relationships and family life</w:t>
      </w:r>
    </w:p>
    <w:p>
      <w:pPr>
        <w:spacing w:after="40"/>
        <w:pBdr>
          <w:bottom w:val="single" w:sz="4" w:space="1" w:color="B0BEC5"/>
        </w:pBdr>
      </w:pPr>
    </w:p>
    <w:p>
      <w:pPr>
        <w:spacing w:after="20" w:before="120"/>
      </w:pPr>
      <w:r>
        <w:rPr>
          <w:b/>
          <w:sz w:val="20"/>
        </w:rPr>
        <w:t>46. Impact on money, including impulsive spending, debt and missed payments</w:t>
      </w:r>
    </w:p>
    <w:p>
      <w:pPr>
        <w:spacing w:after="40"/>
        <w:pBdr>
          <w:bottom w:val="single" w:sz="4" w:space="1" w:color="B0BEC5"/>
        </w:pBdr>
      </w:pPr>
    </w:p>
    <w:p>
      <w:pPr>
        <w:spacing w:after="20" w:before="120"/>
      </w:pPr>
      <w:r>
        <w:rPr>
          <w:b/>
          <w:sz w:val="20"/>
        </w:rPr>
        <w:t>47. Impact on driving, including accidents, fines and near misses. Write Not applicable if you do not drive</w:t>
      </w:r>
    </w:p>
    <w:p>
      <w:pPr>
        <w:spacing w:after="40"/>
        <w:pBdr>
          <w:bottom w:val="single" w:sz="4" w:space="1" w:color="B0BEC5"/>
        </w:pBdr>
      </w:pPr>
    </w:p>
    <w:p>
      <w:pPr>
        <w:spacing w:after="20" w:before="120"/>
      </w:pPr>
      <w:r>
        <w:rPr>
          <w:b/>
          <w:sz w:val="20"/>
        </w:rPr>
        <w:t>48. Impact on parenting, if relevant. Write Not applicable if it is not relevant</w:t>
      </w:r>
    </w:p>
    <w:p>
      <w:pPr>
        <w:spacing w:after="40"/>
        <w:pBdr>
          <w:bottom w:val="single" w:sz="4" w:space="1" w:color="B0BEC5"/>
        </w:pBdr>
      </w:pPr>
    </w:p>
    <w:p>
      <w:pPr>
        <w:spacing w:after="20" w:before="120"/>
      </w:pPr>
      <w:r>
        <w:rPr>
          <w:b/>
          <w:sz w:val="20"/>
        </w:rPr>
        <w:t>49. Impact on your confidence, self esteem and quality of life</w:t>
      </w:r>
    </w:p>
    <w:p>
      <w:pPr>
        <w:spacing w:after="40"/>
        <w:pBdr>
          <w:bottom w:val="single" w:sz="4" w:space="1" w:color="B0BEC5"/>
        </w:pBdr>
      </w:pPr>
    </w:p>
    <w:p>
      <w:pPr>
        <w:spacing w:after="20" w:before="120"/>
      </w:pPr>
      <w:r>
        <w:rPr>
          <w:b/>
          <w:sz w:val="20"/>
        </w:rPr>
        <w:t>50. What coping strategies, systems or help keep you functioning, and what happens when they are removed</w:t>
      </w:r>
    </w:p>
    <w:p>
      <w:pPr>
        <w:spacing w:after="40"/>
        <w:pBdr>
          <w:bottom w:val="single" w:sz="4" w:space="1" w:color="B0BEC5"/>
        </w:pBdr>
      </w:pPr>
    </w:p>
    <w:p>
      <w:pPr>
        <w:spacing w:after="20" w:before="120"/>
      </w:pPr>
      <w:r>
        <w:rPr>
          <w:b/>
          <w:sz w:val="20"/>
        </w:rPr>
        <w:t>51. In which settings are symptoms present: home, work or study, social life, or elsewhere. Give one example per setting</w:t>
      </w:r>
    </w:p>
    <w:p>
      <w:pPr>
        <w:spacing w:after="40"/>
        <w:pBdr>
          <w:bottom w:val="single" w:sz="4" w:space="1" w:color="B0BEC5"/>
        </w:pBdr>
      </w:pPr>
    </w:p>
    <w:p>
      <w:pPr>
        <w:spacing w:after="20" w:before="120"/>
      </w:pPr>
      <w:r>
        <w:rPr>
          <w:b/>
          <w:sz w:val="20"/>
        </w:rPr>
        <w:t>52. At what age did symptoms first cause a problem, and how have they changed as adult demands have grown</w:t>
      </w:r>
    </w:p>
    <w:p>
      <w:pPr>
        <w:spacing w:after="40"/>
        <w:pBdr>
          <w:bottom w:val="single" w:sz="4" w:space="1" w:color="B0BEC5"/>
        </w:pBdr>
      </w:pPr>
    </w:p>
    <w:p>
      <w:pPr>
        <w:pStyle w:val="Heading2"/>
      </w:pPr>
      <w:r>
        <w:t>E. Physical health</w:t>
      </w:r>
    </w:p>
    <w:p>
      <w:pPr>
        <w:spacing w:after="20" w:before="120"/>
      </w:pPr>
      <w:r>
        <w:rPr>
          <w:b/>
          <w:sz w:val="20"/>
        </w:rPr>
        <w:t>53. List all current medical conditions</w:t>
      </w:r>
    </w:p>
    <w:p>
      <w:pPr>
        <w:spacing w:after="40"/>
      </w:pPr>
      <w:r>
        <w:rPr>
          <w:b w:val="0"/>
          <w:i/>
          <w:color w:val="4A5568"/>
          <w:sz w:val="17"/>
        </w:rPr>
        <w:t>Include thyroid problems, epilepsy, asthma, allergies and chronic pain.</w:t>
      </w:r>
    </w:p>
    <w:p>
      <w:pPr>
        <w:spacing w:after="40"/>
        <w:pBdr>
          <w:bottom w:val="single" w:sz="4" w:space="1" w:color="B0BEC5"/>
        </w:pBdr>
      </w:pPr>
    </w:p>
    <w:p>
      <w:pPr>
        <w:spacing w:after="20" w:before="120"/>
      </w:pPr>
      <w:r>
        <w:rPr>
          <w:b/>
          <w:sz w:val="20"/>
        </w:rPr>
        <w:t>54. List all medicines you take, with doses, including inhalers, contraception and over the counter products</w:t>
      </w:r>
    </w:p>
    <w:p>
      <w:pPr>
        <w:spacing w:after="40"/>
        <w:pBdr>
          <w:bottom w:val="single" w:sz="4" w:space="1" w:color="B0BEC5"/>
        </w:pBdr>
      </w:pPr>
    </w:p>
    <w:p>
      <w:pPr>
        <w:spacing w:after="20" w:before="120"/>
      </w:pPr>
      <w:r>
        <w:rPr>
          <w:b/>
          <w:sz w:val="20"/>
        </w:rPr>
        <w:t>55. Have you ever taken medication for attention, mood, sleep or anxiety. What helped and what did not</w:t>
      </w:r>
    </w:p>
    <w:p>
      <w:pPr>
        <w:spacing w:after="40"/>
        <w:pBdr>
          <w:bottom w:val="single" w:sz="4" w:space="1" w:color="B0BEC5"/>
        </w:pBdr>
      </w:pPr>
    </w:p>
    <w:p>
      <w:pPr>
        <w:spacing w:after="20" w:before="120"/>
      </w:pPr>
      <w:r>
        <w:rPr>
          <w:b/>
          <w:sz w:val="20"/>
        </w:rPr>
        <w:t>56. Do you have hearing or vision problems, and when were they last checked</w:t>
      </w:r>
    </w:p>
    <w:p>
      <w:pPr>
        <w:spacing w:after="40"/>
        <w:pBdr>
          <w:bottom w:val="single" w:sz="4" w:space="1" w:color="B0BEC5"/>
        </w:pBdr>
      </w:pPr>
    </w:p>
    <w:p>
      <w:pPr>
        <w:spacing w:after="20" w:before="120"/>
      </w:pPr>
      <w:r>
        <w:rPr>
          <w:b/>
          <w:sz w:val="20"/>
        </w:rPr>
        <w:t>57. Have you had palpitations, chest pain, fainting or a known heart condition</w:t>
      </w:r>
    </w:p>
    <w:p>
      <w:pPr>
        <w:spacing w:after="40"/>
      </w:pPr>
      <w:r>
        <w:rPr>
          <w:b w:val="0"/>
          <w:i/>
          <w:color w:val="4A5568"/>
          <w:sz w:val="17"/>
        </w:rPr>
        <w:t>This decides whether an electrocardiogram, known as an ECG, is needed before medication.</w:t>
      </w:r>
    </w:p>
    <w:p>
      <w:pPr>
        <w:spacing w:after="40"/>
        <w:pBdr>
          <w:bottom w:val="single" w:sz="4" w:space="1" w:color="B0BEC5"/>
        </w:pBdr>
      </w:pPr>
    </w:p>
    <w:p>
      <w:pPr>
        <w:spacing w:after="20" w:before="120"/>
      </w:pPr>
      <w:r>
        <w:rPr>
          <w:b/>
          <w:sz w:val="20"/>
        </w:rPr>
        <w:t>58. Do you know your recent blood pressure, pulse, height and weight. Write them here with dates</w:t>
      </w:r>
    </w:p>
    <w:p>
      <w:pPr>
        <w:spacing w:after="40"/>
      </w:pPr>
      <w:r>
        <w:rPr>
          <w:b w:val="0"/>
          <w:i/>
          <w:color w:val="4A5568"/>
          <w:sz w:val="17"/>
        </w:rPr>
        <w:t>Write Not known if you do not know. Your GP summary should hold them.</w:t>
      </w:r>
    </w:p>
    <w:p>
      <w:pPr>
        <w:spacing w:after="40"/>
        <w:pBdr>
          <w:bottom w:val="single" w:sz="4" w:space="1" w:color="B0BEC5"/>
        </w:pBdr>
      </w:pPr>
    </w:p>
    <w:p>
      <w:pPr>
        <w:spacing w:after="20" w:before="120"/>
      </w:pPr>
      <w:r>
        <w:rPr>
          <w:b/>
          <w:sz w:val="20"/>
        </w:rPr>
        <w:t>59. Do you have tics, seizures or episodes where you lose awareness</w:t>
      </w:r>
    </w:p>
    <w:p>
      <w:pPr>
        <w:spacing w:after="40"/>
        <w:pBdr>
          <w:bottom w:val="single" w:sz="4" w:space="1" w:color="B0BEC5"/>
        </w:pBdr>
      </w:pPr>
    </w:p>
    <w:p>
      <w:pPr>
        <w:spacing w:after="20" w:before="120"/>
      </w:pPr>
      <w:r>
        <w:rPr>
          <w:b/>
          <w:sz w:val="20"/>
        </w:rPr>
        <w:t>60. Is there anything about your physical health that worries you and has not been checked</w:t>
      </w:r>
    </w:p>
    <w:p>
      <w:pPr>
        <w:spacing w:after="40"/>
        <w:pBdr>
          <w:bottom w:val="single" w:sz="4" w:space="1" w:color="B0BEC5"/>
        </w:pBdr>
      </w:pPr>
    </w:p>
    <w:p>
      <w:pPr>
        <w:pStyle w:val="Heading2"/>
      </w:pPr>
      <w:r>
        <w:t>F. Mental health and other conditions</w:t>
      </w:r>
    </w:p>
    <w:p>
      <w:pPr>
        <w:spacing w:after="100"/>
      </w:pPr>
      <w:r>
        <w:rPr>
          <w:b w:val="0"/>
          <w:i w:val="0"/>
          <w:sz w:val="20"/>
        </w:rPr>
        <w:t>Answer honestly. Having another condition does not prevent an ADHD diagnosis. It changes the order in which things should be treated and keeps treatment safe.</w:t>
      </w:r>
    </w:p>
    <w:p>
      <w:pPr>
        <w:spacing w:after="20" w:before="120"/>
      </w:pPr>
      <w:r>
        <w:rPr>
          <w:b/>
          <w:sz w:val="20"/>
        </w:rPr>
        <w:t>61. Anxiety: persistent worry, restlessness, tension or panic, now or in the past</w:t>
      </w:r>
    </w:p>
    <w:p>
      <w:pPr>
        <w:spacing w:after="40"/>
        <w:pBdr>
          <w:bottom w:val="single" w:sz="4" w:space="1" w:color="B0BEC5"/>
        </w:pBdr>
      </w:pPr>
    </w:p>
    <w:p>
      <w:pPr>
        <w:spacing w:after="20" w:before="120"/>
      </w:pPr>
      <w:r>
        <w:rPr>
          <w:b/>
          <w:sz w:val="20"/>
        </w:rPr>
        <w:t>62. Depression: low mood, loss of interest, low energy or poor concentration, now or in the past</w:t>
      </w:r>
    </w:p>
    <w:p>
      <w:pPr>
        <w:spacing w:after="40"/>
        <w:pBdr>
          <w:bottom w:val="single" w:sz="4" w:space="1" w:color="B0BEC5"/>
        </w:pBdr>
      </w:pPr>
    </w:p>
    <w:p>
      <w:pPr>
        <w:spacing w:after="20" w:before="120"/>
      </w:pPr>
      <w:r>
        <w:rPr>
          <w:b/>
          <w:sz w:val="20"/>
        </w:rPr>
        <w:t>63. Mood highs: periods of unusually high energy, reduced need for sleep, racing thoughts or risky decisions</w:t>
      </w:r>
    </w:p>
    <w:p>
      <w:pPr>
        <w:spacing w:after="40"/>
        <w:pBdr>
          <w:bottom w:val="single" w:sz="4" w:space="1" w:color="B0BEC5"/>
        </w:pBdr>
      </w:pPr>
    </w:p>
    <w:p>
      <w:pPr>
        <w:spacing w:after="20" w:before="120"/>
      </w:pPr>
      <w:r>
        <w:rPr>
          <w:b/>
          <w:sz w:val="20"/>
        </w:rPr>
        <w:t>64. Obsessive or compulsive patterns that take time or cause distress</w:t>
      </w:r>
    </w:p>
    <w:p>
      <w:pPr>
        <w:spacing w:after="40"/>
        <w:pBdr>
          <w:bottom w:val="single" w:sz="4" w:space="1" w:color="B0BEC5"/>
        </w:pBdr>
      </w:pPr>
    </w:p>
    <w:p>
      <w:pPr>
        <w:spacing w:after="20" w:before="120"/>
      </w:pPr>
      <w:r>
        <w:rPr>
          <w:b/>
          <w:sz w:val="20"/>
        </w:rPr>
        <w:t>65. Post traumatic symptoms: intrusive memories, avoidance, hypervigilance or nightmares after a traumatic event</w:t>
      </w:r>
    </w:p>
    <w:p>
      <w:pPr>
        <w:spacing w:after="40"/>
        <w:pBdr>
          <w:bottom w:val="single" w:sz="4" w:space="1" w:color="B0BEC5"/>
        </w:pBdr>
      </w:pPr>
    </w:p>
    <w:p>
      <w:pPr>
        <w:spacing w:after="20" w:before="120"/>
      </w:pPr>
      <w:r>
        <w:rPr>
          <w:b/>
          <w:sz w:val="20"/>
        </w:rPr>
        <w:t>66. Eating patterns, including binge eating, restriction or strong impulsivity around food</w:t>
      </w:r>
    </w:p>
    <w:p>
      <w:pPr>
        <w:spacing w:after="40"/>
        <w:pBdr>
          <w:bottom w:val="single" w:sz="4" w:space="1" w:color="B0BEC5"/>
        </w:pBdr>
      </w:pPr>
    </w:p>
    <w:p>
      <w:pPr>
        <w:spacing w:after="20" w:before="120"/>
      </w:pPr>
      <w:r>
        <w:rPr>
          <w:b/>
          <w:sz w:val="20"/>
        </w:rPr>
        <w:t>67. Autism related traits: differences in social communication, sensory sensitivity, need for routine or intense interests</w:t>
      </w:r>
    </w:p>
    <w:p>
      <w:pPr>
        <w:spacing w:after="40"/>
        <w:pBdr>
          <w:bottom w:val="single" w:sz="4" w:space="1" w:color="B0BEC5"/>
        </w:pBdr>
      </w:pPr>
    </w:p>
    <w:p>
      <w:pPr>
        <w:spacing w:after="20" w:before="120"/>
      </w:pPr>
      <w:r>
        <w:rPr>
          <w:b/>
          <w:sz w:val="20"/>
        </w:rPr>
        <w:t>68. Learning differences, such as dyslexia or dyscalculia, and how they were identified</w:t>
      </w:r>
    </w:p>
    <w:p>
      <w:pPr>
        <w:spacing w:after="40"/>
        <w:pBdr>
          <w:bottom w:val="single" w:sz="4" w:space="1" w:color="B0BEC5"/>
        </w:pBdr>
      </w:pPr>
    </w:p>
    <w:p>
      <w:pPr>
        <w:spacing w:after="20" w:before="120"/>
      </w:pPr>
      <w:r>
        <w:rPr>
          <w:b/>
          <w:sz w:val="20"/>
        </w:rPr>
        <w:t>69. Coordination difficulties, sometimes called developmental coordination disorder</w:t>
      </w:r>
    </w:p>
    <w:p>
      <w:pPr>
        <w:spacing w:after="40"/>
        <w:pBdr>
          <w:bottom w:val="single" w:sz="4" w:space="1" w:color="B0BEC5"/>
        </w:pBdr>
      </w:pPr>
    </w:p>
    <w:p>
      <w:pPr>
        <w:spacing w:after="20" w:before="120"/>
      </w:pPr>
      <w:r>
        <w:rPr>
          <w:b/>
          <w:sz w:val="20"/>
        </w:rPr>
        <w:t>70. Personality or relationship patterns that cause repeated difficulty</w:t>
      </w:r>
    </w:p>
    <w:p>
      <w:pPr>
        <w:spacing w:after="40"/>
        <w:pBdr>
          <w:bottom w:val="single" w:sz="4" w:space="1" w:color="B0BEC5"/>
        </w:pBdr>
      </w:pPr>
    </w:p>
    <w:p>
      <w:pPr>
        <w:spacing w:after="20" w:before="120"/>
      </w:pPr>
      <w:r>
        <w:rPr>
          <w:b/>
          <w:sz w:val="20"/>
        </w:rPr>
        <w:t>71. Have you ever had thoughts of harming yourself, or have you harmed yourself. If yes, give dates and what help you received</w:t>
      </w:r>
    </w:p>
    <w:p>
      <w:pPr>
        <w:spacing w:after="40"/>
        <w:pBdr>
          <w:bottom w:val="single" w:sz="4" w:space="1" w:color="B0BEC5"/>
        </w:pBdr>
      </w:pPr>
    </w:p>
    <w:p>
      <w:pPr>
        <w:spacing w:after="20" w:before="120"/>
      </w:pPr>
      <w:r>
        <w:rPr>
          <w:b/>
          <w:sz w:val="20"/>
        </w:rPr>
        <w:t>72. Have you ever had thoughts of harming someone else, or been in trouble with the police</w:t>
      </w:r>
    </w:p>
    <w:p>
      <w:pPr>
        <w:spacing w:after="40"/>
        <w:pBdr>
          <w:bottom w:val="single" w:sz="4" w:space="1" w:color="B0BEC5"/>
        </w:pBdr>
      </w:pPr>
    </w:p>
    <w:p>
      <w:pPr>
        <w:spacing w:after="20" w:before="120"/>
      </w:pPr>
      <w:r>
        <w:rPr>
          <w:b/>
          <w:sz w:val="20"/>
        </w:rPr>
        <w:t>73. Have you received therapy, counselling or psychiatric care. What was it and did it help</w:t>
      </w:r>
    </w:p>
    <w:p>
      <w:pPr>
        <w:spacing w:after="40"/>
        <w:pBdr>
          <w:bottom w:val="single" w:sz="4" w:space="1" w:color="B0BEC5"/>
        </w:pBdr>
      </w:pPr>
    </w:p>
    <w:p>
      <w:pPr>
        <w:spacing w:after="20" w:before="120"/>
      </w:pPr>
      <w:r>
        <w:rPr>
          <w:b/>
          <w:sz w:val="20"/>
        </w:rPr>
        <w:t>74. Are you currently waiting for, or receiving, treatment for any mental health condition</w:t>
      </w:r>
    </w:p>
    <w:p>
      <w:pPr>
        <w:spacing w:after="40"/>
        <w:pBdr>
          <w:bottom w:val="single" w:sz="4" w:space="1" w:color="B0BEC5"/>
        </w:pBdr>
      </w:pPr>
    </w:p>
    <w:p>
      <w:pPr>
        <w:spacing w:after="20" w:before="120"/>
      </w:pPr>
      <w:r>
        <w:rPr>
          <w:b/>
          <w:sz w:val="20"/>
        </w:rPr>
        <w:t>75. Is your mental state stable at present. If not, describe what is unstable and what support you have</w:t>
      </w:r>
    </w:p>
    <w:p>
      <w:pPr>
        <w:spacing w:after="40"/>
        <w:pBdr>
          <w:bottom w:val="single" w:sz="4" w:space="1" w:color="B0BEC5"/>
        </w:pBdr>
      </w:pPr>
    </w:p>
    <w:p>
      <w:pPr>
        <w:pStyle w:val="Heading2"/>
      </w:pPr>
      <w:r>
        <w:t>G. Sleep, substances and daily habits</w:t>
      </w:r>
    </w:p>
    <w:p>
      <w:pPr>
        <w:spacing w:after="20" w:before="120"/>
      </w:pPr>
      <w:r>
        <w:rPr>
          <w:b/>
          <w:sz w:val="20"/>
        </w:rPr>
        <w:t>76. Describe your sleep: hours, quality, difficulty falling or staying asleep, and waking time</w:t>
      </w:r>
    </w:p>
    <w:p>
      <w:pPr>
        <w:spacing w:after="40"/>
        <w:pBdr>
          <w:bottom w:val="single" w:sz="4" w:space="1" w:color="B0BEC5"/>
        </w:pBdr>
      </w:pPr>
    </w:p>
    <w:p>
      <w:pPr>
        <w:spacing w:after="20" w:before="120"/>
      </w:pPr>
      <w:r>
        <w:rPr>
          <w:b/>
          <w:sz w:val="20"/>
        </w:rPr>
        <w:t>77. Do you snore loudly, stop breathing in sleep as far as you know, or wake unrefreshed</w:t>
      </w:r>
    </w:p>
    <w:p>
      <w:pPr>
        <w:spacing w:after="40"/>
        <w:pBdr>
          <w:bottom w:val="single" w:sz="4" w:space="1" w:color="B0BEC5"/>
        </w:pBdr>
      </w:pPr>
    </w:p>
    <w:p>
      <w:pPr>
        <w:spacing w:after="20" w:before="120"/>
      </w:pPr>
      <w:r>
        <w:rPr>
          <w:b/>
          <w:sz w:val="20"/>
        </w:rPr>
        <w:t>78. How much alcohol do you drink in a typical week, and has it ever been a problem</w:t>
      </w:r>
    </w:p>
    <w:p>
      <w:pPr>
        <w:spacing w:after="40"/>
        <w:pBdr>
          <w:bottom w:val="single" w:sz="4" w:space="1" w:color="B0BEC5"/>
        </w:pBdr>
      </w:pPr>
    </w:p>
    <w:p>
      <w:pPr>
        <w:spacing w:after="20" w:before="120"/>
      </w:pPr>
      <w:r>
        <w:rPr>
          <w:b/>
          <w:sz w:val="20"/>
        </w:rPr>
        <w:t>79. Do you use cannabis, stimulants, sedatives or any other recreational substances. How often and why</w:t>
      </w:r>
    </w:p>
    <w:p>
      <w:pPr>
        <w:spacing w:after="40"/>
        <w:pBdr>
          <w:bottom w:val="single" w:sz="4" w:space="1" w:color="B0BEC5"/>
        </w:pBdr>
      </w:pPr>
    </w:p>
    <w:p>
      <w:pPr>
        <w:spacing w:after="20" w:before="120"/>
      </w:pPr>
      <w:r>
        <w:rPr>
          <w:b/>
          <w:sz w:val="20"/>
        </w:rPr>
        <w:t>80. Do you smoke or vape, and how much caffeine do you have each day</w:t>
      </w:r>
    </w:p>
    <w:p>
      <w:pPr>
        <w:spacing w:after="40"/>
        <w:pBdr>
          <w:bottom w:val="single" w:sz="4" w:space="1" w:color="B0BEC5"/>
        </w:pBdr>
      </w:pPr>
    </w:p>
    <w:p>
      <w:pPr>
        <w:spacing w:after="20" w:before="120"/>
      </w:pPr>
      <w:r>
        <w:rPr>
          <w:b/>
          <w:sz w:val="20"/>
        </w:rPr>
        <w:t>81. Have you ever used substances to help you concentrate, calm down or sleep</w:t>
      </w:r>
    </w:p>
    <w:p>
      <w:pPr>
        <w:spacing w:after="40"/>
        <w:pBdr>
          <w:bottom w:val="single" w:sz="4" w:space="1" w:color="B0BEC5"/>
        </w:pBdr>
      </w:pPr>
    </w:p>
    <w:p>
      <w:pPr>
        <w:spacing w:after="20" w:before="120"/>
      </w:pPr>
      <w:r>
        <w:rPr>
          <w:b/>
          <w:sz w:val="20"/>
        </w:rPr>
        <w:t>82. Describe a typical day: work, exercise, meals, screen use and downtime</w:t>
      </w:r>
    </w:p>
    <w:p>
      <w:pPr>
        <w:spacing w:after="40"/>
        <w:pBdr>
          <w:bottom w:val="single" w:sz="4" w:space="1" w:color="B0BEC5"/>
        </w:pBdr>
      </w:pPr>
    </w:p>
    <w:p>
      <w:pPr>
        <w:spacing w:after="20" w:before="120"/>
      </w:pPr>
      <w:r>
        <w:rPr>
          <w:b/>
          <w:sz w:val="20"/>
        </w:rPr>
        <w:t>83. What time of day do you function best and worst, and does this vary across the month if relevant</w:t>
      </w:r>
    </w:p>
    <w:p>
      <w:pPr>
        <w:spacing w:after="40"/>
        <w:pBdr>
          <w:bottom w:val="single" w:sz="4" w:space="1" w:color="B0BEC5"/>
        </w:pBdr>
      </w:pPr>
    </w:p>
    <w:p>
      <w:pPr>
        <w:pStyle w:val="Heading2"/>
      </w:pPr>
      <w:r>
        <w:t>H. Risk and safeguarding</w:t>
      </w:r>
    </w:p>
    <w:p>
      <w:pPr>
        <w:spacing w:after="100"/>
      </w:pPr>
      <w:r>
        <w:rPr>
          <w:b w:val="0"/>
          <w:i w:val="0"/>
          <w:sz w:val="20"/>
        </w:rPr>
        <w:t>These questions are routine in every NHS assessment. Answering yes does not stop an assessment. It lets the team plan safely and offer the right support.</w:t>
      </w:r>
    </w:p>
    <w:p>
      <w:pPr>
        <w:spacing w:after="20" w:before="120"/>
      </w:pPr>
      <w:r>
        <w:rPr>
          <w:b/>
          <w:sz w:val="20"/>
        </w:rPr>
        <w:t>84. Are you safe at home at present</w:t>
      </w:r>
    </w:p>
    <w:p>
      <w:pPr>
        <w:spacing w:after="40"/>
        <w:pBdr>
          <w:bottom w:val="single" w:sz="4" w:space="1" w:color="B0BEC5"/>
        </w:pBdr>
      </w:pPr>
    </w:p>
    <w:p>
      <w:pPr>
        <w:spacing w:after="20" w:before="120"/>
      </w:pPr>
      <w:r>
        <w:rPr>
          <w:b/>
          <w:sz w:val="20"/>
        </w:rPr>
        <w:t>85. Have you experienced abuse, neglect or exploitation, in childhood or as an adult, that affects you now</w:t>
      </w:r>
    </w:p>
    <w:p>
      <w:pPr>
        <w:spacing w:after="40"/>
        <w:pBdr>
          <w:bottom w:val="single" w:sz="4" w:space="1" w:color="B0BEC5"/>
        </w:pBdr>
      </w:pPr>
    </w:p>
    <w:p>
      <w:pPr>
        <w:spacing w:after="20" w:before="120"/>
      </w:pPr>
      <w:r>
        <w:rPr>
          <w:b/>
          <w:sz w:val="20"/>
        </w:rPr>
        <w:t>86. Are there any safeguarding concerns for you or for anyone in your household, including children</w:t>
      </w:r>
    </w:p>
    <w:p>
      <w:pPr>
        <w:spacing w:after="40"/>
        <w:pBdr>
          <w:bottom w:val="single" w:sz="4" w:space="1" w:color="B0BEC5"/>
        </w:pBdr>
      </w:pPr>
    </w:p>
    <w:p>
      <w:pPr>
        <w:spacing w:after="20" w:before="120"/>
      </w:pPr>
      <w:r>
        <w:rPr>
          <w:b/>
          <w:sz w:val="20"/>
        </w:rPr>
        <w:t>87. Have you taken risks when impulsive that caused harm, debt, injury or legal problems. Give examples</w:t>
      </w:r>
    </w:p>
    <w:p>
      <w:pPr>
        <w:spacing w:after="40"/>
        <w:pBdr>
          <w:bottom w:val="single" w:sz="4" w:space="1" w:color="B0BEC5"/>
        </w:pBdr>
      </w:pPr>
    </w:p>
    <w:p>
      <w:pPr>
        <w:spacing w:after="20" w:before="120"/>
      </w:pPr>
      <w:r>
        <w:rPr>
          <w:b/>
          <w:sz w:val="20"/>
        </w:rPr>
        <w:t>88. Do you drive when tired, distracted or after drinking or using substances</w:t>
      </w:r>
    </w:p>
    <w:p>
      <w:pPr>
        <w:spacing w:after="40"/>
        <w:pBdr>
          <w:bottom w:val="single" w:sz="4" w:space="1" w:color="B0BEC5"/>
        </w:pBdr>
      </w:pPr>
    </w:p>
    <w:p>
      <w:pPr>
        <w:spacing w:after="20" w:before="120"/>
      </w:pPr>
      <w:r>
        <w:rPr>
          <w:b/>
          <w:sz w:val="20"/>
        </w:rPr>
        <w:t>89. Who would you contact in a crisis, and do you have a crisis or safety plan</w:t>
      </w:r>
    </w:p>
    <w:p>
      <w:pPr>
        <w:spacing w:after="40"/>
        <w:pBdr>
          <w:bottom w:val="single" w:sz="4" w:space="1" w:color="B0BEC5"/>
        </w:pBdr>
      </w:pPr>
    </w:p>
    <w:p>
      <w:pPr>
        <w:spacing w:after="20" w:before="120"/>
      </w:pPr>
      <w:r>
        <w:rPr>
          <w:b/>
          <w:sz w:val="20"/>
        </w:rPr>
        <w:t>90. Is there anything that would make a remote video appointment unsafe or difficult for you</w:t>
      </w:r>
    </w:p>
    <w:p>
      <w:pPr>
        <w:spacing w:after="40"/>
        <w:pBdr>
          <w:bottom w:val="single" w:sz="4" w:space="1" w:color="B0BEC5"/>
        </w:pBdr>
      </w:pPr>
    </w:p>
    <w:p>
      <w:pPr>
        <w:pStyle w:val="Heading2"/>
      </w:pPr>
      <w:r>
        <w:t>I. Family history</w:t>
      </w:r>
    </w:p>
    <w:p>
      <w:pPr>
        <w:spacing w:after="20" w:before="120"/>
      </w:pPr>
      <w:r>
        <w:rPr>
          <w:b/>
          <w:sz w:val="20"/>
        </w:rPr>
        <w:t>91. Has any blood relative been diagnosed with ADHD, or shown similar traits without a diagnosis. Who, and at what age</w:t>
      </w:r>
    </w:p>
    <w:p>
      <w:pPr>
        <w:spacing w:after="40"/>
        <w:pBdr>
          <w:bottom w:val="single" w:sz="4" w:space="1" w:color="B0BEC5"/>
        </w:pBdr>
      </w:pPr>
    </w:p>
    <w:p>
      <w:pPr>
        <w:spacing w:after="20" w:before="120"/>
      </w:pPr>
      <w:r>
        <w:rPr>
          <w:b/>
          <w:sz w:val="20"/>
        </w:rPr>
        <w:t>92. Has any blood relative been diagnosed with autism, dyslexia or another learning difference</w:t>
      </w:r>
    </w:p>
    <w:p>
      <w:pPr>
        <w:spacing w:after="40"/>
        <w:pBdr>
          <w:bottom w:val="single" w:sz="4" w:space="1" w:color="B0BEC5"/>
        </w:pBdr>
      </w:pPr>
    </w:p>
    <w:p>
      <w:pPr>
        <w:spacing w:after="20" w:before="120"/>
      </w:pPr>
      <w:r>
        <w:rPr>
          <w:b/>
          <w:sz w:val="20"/>
        </w:rPr>
        <w:t>93. Has any blood relative had anxiety, depression, bipolar disorder or psychosis</w:t>
      </w:r>
    </w:p>
    <w:p>
      <w:pPr>
        <w:spacing w:after="40"/>
        <w:pBdr>
          <w:bottom w:val="single" w:sz="4" w:space="1" w:color="B0BEC5"/>
        </w:pBdr>
      </w:pPr>
    </w:p>
    <w:p>
      <w:pPr>
        <w:spacing w:after="20" w:before="120"/>
      </w:pPr>
      <w:r>
        <w:rPr>
          <w:b/>
          <w:sz w:val="20"/>
        </w:rPr>
        <w:t>94. Has any blood relative had problems with alcohol or substances, tics, epilepsy or thyroid disease</w:t>
      </w:r>
    </w:p>
    <w:p>
      <w:pPr>
        <w:spacing w:after="40"/>
        <w:pBdr>
          <w:bottom w:val="single" w:sz="4" w:space="1" w:color="B0BEC5"/>
        </w:pBdr>
      </w:pPr>
    </w:p>
    <w:p>
      <w:pPr>
        <w:spacing w:after="20" w:before="120"/>
      </w:pPr>
      <w:r>
        <w:rPr>
          <w:b/>
          <w:sz w:val="20"/>
        </w:rPr>
        <w:t>95. If you have children, have any of them shown attention, activity or impulsivity difficulties or been assessed</w:t>
      </w:r>
    </w:p>
    <w:p>
      <w:pPr>
        <w:spacing w:after="40"/>
        <w:pBdr>
          <w:bottom w:val="single" w:sz="4" w:space="1" w:color="B0BEC5"/>
        </w:pBdr>
      </w:pPr>
    </w:p>
    <w:p>
      <w:pPr>
        <w:pStyle w:val="Heading2"/>
      </w:pPr>
      <w:r>
        <w:t>J. Goals, support and preferences</w:t>
      </w:r>
    </w:p>
    <w:p>
      <w:pPr>
        <w:spacing w:after="20" w:before="120"/>
      </w:pPr>
      <w:r>
        <w:rPr>
          <w:b/>
          <w:sz w:val="20"/>
        </w:rPr>
        <w:t>96. What are the three changes that would make the biggest difference to your daily life</w:t>
      </w:r>
    </w:p>
    <w:p>
      <w:pPr>
        <w:spacing w:after="40"/>
        <w:pBdr>
          <w:bottom w:val="single" w:sz="4" w:space="1" w:color="B0BEC5"/>
        </w:pBdr>
      </w:pPr>
    </w:p>
    <w:p>
      <w:pPr>
        <w:spacing w:after="20" w:before="120"/>
      </w:pPr>
      <w:r>
        <w:rPr>
          <w:b/>
          <w:sz w:val="20"/>
        </w:rPr>
        <w:t>97. What support at work, college or school would help, such as written instructions, reminders or a quieter space</w:t>
      </w:r>
    </w:p>
    <w:p>
      <w:pPr>
        <w:spacing w:after="40"/>
        <w:pBdr>
          <w:bottom w:val="single" w:sz="4" w:space="1" w:color="B0BEC5"/>
        </w:pBdr>
      </w:pPr>
    </w:p>
    <w:p>
      <w:pPr>
        <w:spacing w:after="20" w:before="120"/>
      </w:pPr>
      <w:r>
        <w:rPr>
          <w:b/>
          <w:sz w:val="20"/>
        </w:rPr>
        <w:t>98. What support at home would help, and who could realistically provide it</w:t>
      </w:r>
    </w:p>
    <w:p>
      <w:pPr>
        <w:spacing w:after="40"/>
        <w:pBdr>
          <w:bottom w:val="single" w:sz="4" w:space="1" w:color="B0BEC5"/>
        </w:pBdr>
      </w:pPr>
    </w:p>
    <w:p>
      <w:pPr>
        <w:spacing w:after="20" w:before="120"/>
      </w:pPr>
      <w:r>
        <w:rPr>
          <w:b/>
          <w:sz w:val="20"/>
        </w:rPr>
        <w:t>99. What are your views on medication, psychological support, coaching and peer support, if a diagnosis is given</w:t>
      </w:r>
    </w:p>
    <w:p>
      <w:pPr>
        <w:spacing w:after="40"/>
        <w:pBdr>
          <w:bottom w:val="single" w:sz="4" w:space="1" w:color="B0BEC5"/>
        </w:pBdr>
      </w:pPr>
    </w:p>
    <w:p>
      <w:pPr>
        <w:spacing w:after="20" w:before="120"/>
      </w:pPr>
      <w:r>
        <w:rPr>
          <w:b/>
          <w:sz w:val="20"/>
        </w:rPr>
        <w:t>100. Is there anything else the clinician should know that these questions have not covered</w:t>
      </w:r>
    </w:p>
    <w:p>
      <w:pPr>
        <w:spacing w:after="40"/>
        <w:pBdr>
          <w:bottom w:val="single" w:sz="4" w:space="1" w:color="B0BEC5"/>
        </w:pBdr>
      </w:pPr>
    </w:p>
    <w:p>
      <w:pPr>
        <w:spacing w:after="100"/>
      </w:pPr>
      <w:r>
        <w:rPr>
          <w:b w:val="0"/>
          <w:i/>
          <w:color w:val="4A5568"/>
          <w:sz w:val="20"/>
        </w:rPr>
        <w:t>End of self report. Sign and date below, then complete the timeline and checklist at the back of this pack.</w:t>
      </w:r>
    </w:p>
    <w:p>
      <w:pPr>
        <w:spacing w:after="40"/>
        <w:pBdr>
          <w:bottom w:val="single" w:sz="4" w:space="1" w:color="B0BEC5"/>
        </w:pBdr>
      </w:pPr>
    </w:p>
    <w:p>
      <w:pPr>
        <w:spacing w:after="100"/>
      </w:pPr>
      <w:r>
        <w:rPr>
          <w:b w:val="0"/>
          <w:i w:val="0"/>
          <w:sz w:val="18"/>
        </w:rPr>
        <w:t>Signed: ________________________________________    Date: ____________________</w:t>
      </w:r>
    </w:p>
    <w:p>
      <w:r>
        <w:br w:type="page"/>
      </w:r>
    </w:p>
    <w:p>
      <w:pPr>
        <w:pStyle w:val="Heading1"/>
      </w:pPr>
      <w:r>
        <w:t>Informant report: print this section for someone who knows you</w:t>
      </w:r>
    </w:p>
    <w:p>
      <w:pPr>
        <w:spacing w:after="100"/>
      </w:pPr>
      <w:r>
        <w:rPr>
          <w:b w:val="0"/>
          <w:i w:val="0"/>
          <w:sz w:val="20"/>
        </w:rPr>
        <w:t>To the informant: Thank you for completing this. The person named below is being assessed for ADHD. Your account is a required part of an NHS assessment. Please answer from your own memory, give real examples, and be honest even where your view differs. There are no right answers. If you did not know the person at the age a question asks about, write that clearly.</w:t>
      </w:r>
    </w:p>
    <w:p>
      <w:pPr>
        <w:spacing w:after="20" w:before="120"/>
      </w:pPr>
      <w:r>
        <w:rPr>
          <w:b/>
          <w:sz w:val="20"/>
        </w:rPr>
        <w:t>A. Your full name, relationship to the person, and how long you have known them</w:t>
      </w:r>
    </w:p>
    <w:p>
      <w:pPr>
        <w:spacing w:after="40"/>
        <w:pBdr>
          <w:bottom w:val="single" w:sz="4" w:space="1" w:color="B0BEC5"/>
        </w:pBdr>
      </w:pPr>
    </w:p>
    <w:p>
      <w:pPr>
        <w:spacing w:after="20" w:before="120"/>
      </w:pPr>
      <w:r>
        <w:rPr>
          <w:b/>
          <w:sz w:val="20"/>
        </w:rPr>
        <w:t>B. The full name of the person being assessed</w:t>
      </w:r>
    </w:p>
    <w:p>
      <w:pPr>
        <w:spacing w:after="40"/>
        <w:pBdr>
          <w:bottom w:val="single" w:sz="4" w:space="1" w:color="B0BEC5"/>
        </w:pBdr>
      </w:pPr>
    </w:p>
    <w:p>
      <w:pPr>
        <w:spacing w:after="20" w:before="120"/>
      </w:pPr>
      <w:r>
        <w:rPr>
          <w:b/>
          <w:sz w:val="20"/>
        </w:rPr>
        <w:t>C. Did you know them before age 12. If yes, in what setting: home, school, family, friendship or other</w:t>
      </w:r>
    </w:p>
    <w:p>
      <w:pPr>
        <w:spacing w:after="40"/>
        <w:pBdr>
          <w:bottom w:val="single" w:sz="4" w:space="1" w:color="B0BEC5"/>
        </w:pBdr>
      </w:pPr>
    </w:p>
    <w:p>
      <w:pPr>
        <w:spacing w:after="100"/>
      </w:pPr>
      <w:r>
        <w:rPr>
          <w:b/>
          <w:i w:val="0"/>
          <w:color w:val="0F3B5C"/>
          <w:sz w:val="20"/>
        </w:rPr>
        <w:t>Childhood, if you knew them then</w:t>
      </w:r>
    </w:p>
    <w:p>
      <w:pPr>
        <w:spacing w:after="20" w:before="120"/>
      </w:pPr>
      <w:r>
        <w:rPr>
          <w:b/>
          <w:sz w:val="20"/>
        </w:rPr>
        <w:t>•. How active, restless or fidgety were they as a child, compared with other children of the same age</w:t>
      </w:r>
    </w:p>
    <w:p>
      <w:pPr>
        <w:spacing w:after="40"/>
        <w:pBdr>
          <w:bottom w:val="single" w:sz="4" w:space="1" w:color="B0BEC5"/>
        </w:pBdr>
      </w:pPr>
    </w:p>
    <w:p>
      <w:pPr>
        <w:spacing w:after="20" w:before="120"/>
      </w:pPr>
      <w:r>
        <w:rPr>
          <w:b/>
          <w:sz w:val="20"/>
        </w:rPr>
        <w:t>•. How well could they concentrate, listen and finish tasks as a child</w:t>
      </w:r>
    </w:p>
    <w:p>
      <w:pPr>
        <w:spacing w:after="40"/>
        <w:pBdr>
          <w:bottom w:val="single" w:sz="4" w:space="1" w:color="B0BEC5"/>
        </w:pBdr>
      </w:pPr>
    </w:p>
    <w:p>
      <w:pPr>
        <w:spacing w:after="20" w:before="120"/>
      </w:pPr>
      <w:r>
        <w:rPr>
          <w:b/>
          <w:sz w:val="20"/>
        </w:rPr>
        <w:t>•. How organised were they, and how often did they lose things or forget instructions</w:t>
      </w:r>
    </w:p>
    <w:p>
      <w:pPr>
        <w:spacing w:after="40"/>
        <w:pBdr>
          <w:bottom w:val="single" w:sz="4" w:space="1" w:color="B0BEC5"/>
        </w:pBdr>
      </w:pPr>
    </w:p>
    <w:p>
      <w:pPr>
        <w:spacing w:after="20" w:before="120"/>
      </w:pPr>
      <w:r>
        <w:rPr>
          <w:b/>
          <w:sz w:val="20"/>
        </w:rPr>
        <w:t>•. How impulsive were they, for example blurting out, interrupting, acting without thinking or taking risks</w:t>
      </w:r>
    </w:p>
    <w:p>
      <w:pPr>
        <w:spacing w:after="40"/>
        <w:pBdr>
          <w:bottom w:val="single" w:sz="4" w:space="1" w:color="B0BEC5"/>
        </w:pBdr>
      </w:pPr>
    </w:p>
    <w:p>
      <w:pPr>
        <w:spacing w:after="20" w:before="120"/>
      </w:pPr>
      <w:r>
        <w:rPr>
          <w:b/>
          <w:sz w:val="20"/>
        </w:rPr>
        <w:t>•. What did teachers say about them, as far as you remember</w:t>
      </w:r>
    </w:p>
    <w:p>
      <w:pPr>
        <w:spacing w:after="40"/>
        <w:pBdr>
          <w:bottom w:val="single" w:sz="4" w:space="1" w:color="B0BEC5"/>
        </w:pBdr>
      </w:pPr>
    </w:p>
    <w:p>
      <w:pPr>
        <w:spacing w:after="20" w:before="120"/>
      </w:pPr>
      <w:r>
        <w:rPr>
          <w:b/>
          <w:sz w:val="20"/>
        </w:rPr>
        <w:t>•. How did they get on with other children, and how did they manage routines and rules</w:t>
      </w:r>
    </w:p>
    <w:p>
      <w:pPr>
        <w:spacing w:after="40"/>
        <w:pBdr>
          <w:bottom w:val="single" w:sz="4" w:space="1" w:color="B0BEC5"/>
        </w:pBdr>
      </w:pPr>
    </w:p>
    <w:p>
      <w:pPr>
        <w:spacing w:after="100"/>
      </w:pPr>
      <w:r>
        <w:rPr>
          <w:b/>
          <w:i w:val="0"/>
          <w:color w:val="0F3B5C"/>
          <w:sz w:val="20"/>
        </w:rPr>
        <w:t>Now, in the past six months</w:t>
      </w:r>
    </w:p>
    <w:p>
      <w:pPr>
        <w:spacing w:after="20" w:before="120"/>
      </w:pPr>
      <w:r>
        <w:rPr>
          <w:b/>
          <w:sz w:val="20"/>
        </w:rPr>
        <w:t>•. How often do you see the same patterns now. Give two recent examples with dates or occasions</w:t>
      </w:r>
    </w:p>
    <w:p>
      <w:pPr>
        <w:spacing w:after="40"/>
        <w:pBdr>
          <w:bottom w:val="single" w:sz="4" w:space="1" w:color="B0BEC5"/>
        </w:pBdr>
      </w:pPr>
    </w:p>
    <w:p>
      <w:pPr>
        <w:spacing w:after="20" w:before="120"/>
      </w:pPr>
      <w:r>
        <w:rPr>
          <w:b/>
          <w:sz w:val="20"/>
        </w:rPr>
        <w:t>•. In which settings do you see them: home, work, social life or elsewhere</w:t>
      </w:r>
    </w:p>
    <w:p>
      <w:pPr>
        <w:spacing w:after="40"/>
        <w:pBdr>
          <w:bottom w:val="single" w:sz="4" w:space="1" w:color="B0BEC5"/>
        </w:pBdr>
      </w:pPr>
    </w:p>
    <w:p>
      <w:pPr>
        <w:spacing w:after="20" w:before="120"/>
      </w:pPr>
      <w:r>
        <w:rPr>
          <w:b/>
          <w:sz w:val="20"/>
        </w:rPr>
        <w:t>•. How do these patterns affect daily life, relationships, work or managing at home</w:t>
      </w:r>
    </w:p>
    <w:p>
      <w:pPr>
        <w:spacing w:after="40"/>
        <w:pBdr>
          <w:bottom w:val="single" w:sz="4" w:space="1" w:color="B0BEC5"/>
        </w:pBdr>
      </w:pPr>
    </w:p>
    <w:p>
      <w:pPr>
        <w:spacing w:after="20" w:before="120"/>
      </w:pPr>
      <w:r>
        <w:rPr>
          <w:b/>
          <w:sz w:val="20"/>
        </w:rPr>
        <w:t>•. What strengths, systems or support help them cope, and what happens without that support</w:t>
      </w:r>
    </w:p>
    <w:p>
      <w:pPr>
        <w:spacing w:after="40"/>
        <w:pBdr>
          <w:bottom w:val="single" w:sz="4" w:space="1" w:color="B0BEC5"/>
        </w:pBdr>
      </w:pPr>
    </w:p>
    <w:p>
      <w:pPr>
        <w:spacing w:after="20" w:before="120"/>
      </w:pPr>
      <w:r>
        <w:rPr>
          <w:b/>
          <w:sz w:val="20"/>
        </w:rPr>
        <w:t>•. Have you noticed problems with mood, anxiety, sleep or substance use that the clinician should know about</w:t>
      </w:r>
    </w:p>
    <w:p>
      <w:pPr>
        <w:spacing w:after="40"/>
        <w:pBdr>
          <w:bottom w:val="single" w:sz="4" w:space="1" w:color="B0BEC5"/>
        </w:pBdr>
      </w:pPr>
    </w:p>
    <w:p>
      <w:pPr>
        <w:spacing w:after="20" w:before="120"/>
      </w:pPr>
      <w:r>
        <w:rPr>
          <w:b/>
          <w:sz w:val="20"/>
        </w:rPr>
        <w:t>•. Is there anything else the clinician should know, including anything you see differently from the person themselves</w:t>
      </w:r>
    </w:p>
    <w:p>
      <w:pPr>
        <w:spacing w:after="40"/>
        <w:pBdr>
          <w:bottom w:val="single" w:sz="4" w:space="1" w:color="B0BEC5"/>
        </w:pBdr>
      </w:pPr>
    </w:p>
    <w:p>
      <w:pPr>
        <w:spacing w:after="100"/>
      </w:pPr>
      <w:r>
        <w:rPr>
          <w:b w:val="0"/>
          <w:i w:val="0"/>
          <w:sz w:val="18"/>
        </w:rPr>
        <w:t>Signed: ________________________________________    Date: ____________________    May the clinician contact you if they need to clarify anything:  Yes  /  No</w:t>
      </w:r>
    </w:p>
    <w:tbl>
      <w:tblPr>
        <w:tblStyle w:val="TableGrid"/>
        <w:tblW w:type="auto" w:w="0"/>
        <w:tblLook w:firstColumn="1" w:firstRow="1" w:lastColumn="0" w:lastRow="0" w:noHBand="0" w:noVBand="1" w:val="04A0"/>
      </w:tblPr>
      <w:tblGrid>
        <w:gridCol w:w="10224"/>
      </w:tblGrid>
      <w:tr>
        <w:tc>
          <w:tcPr>
            <w:tcW w:type="dxa" w:w="10224"/>
            <w:shd w:fill="EAF2F8"/>
          </w:tcPr>
          <w:p>
            <w:r/>
            <w:r>
              <w:rPr>
                <w:b/>
                <w:color w:val="0F3B5C"/>
              </w:rPr>
              <w:t xml:space="preserve">Privacy: </w:t>
            </w:r>
            <w:r>
              <w:t>This form will become part of the assessment record. Do not include information about other people that is not relevant to this assessment.</w:t>
            </w:r>
          </w:p>
        </w:tc>
      </w:tr>
    </w:tbl>
    <w:p>
      <w:pPr>
        <w:spacing w:after="40"/>
      </w:pPr>
    </w:p>
    <w:p>
      <w:r>
        <w:br w:type="page"/>
      </w:r>
    </w:p>
    <w:p>
      <w:pPr>
        <w:pStyle w:val="Heading1"/>
      </w:pPr>
      <w:r>
        <w:t>GP summary checklist</w:t>
      </w:r>
    </w:p>
    <w:p>
      <w:pPr>
        <w:spacing w:after="100"/>
      </w:pPr>
      <w:r>
        <w:rPr>
          <w:b w:val="0"/>
          <w:i w:val="0"/>
          <w:sz w:val="20"/>
        </w:rPr>
        <w:t>Ask your GP practice to complete this page, or complete it from your patient summary and ask the practice to check it. Take it to the assessment and keep a copy.</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0F3B5C"/>
          </w:tcPr>
          <w:p>
            <w:r/>
            <w:r>
              <w:rPr>
                <w:b/>
                <w:color w:val="FFFFFF"/>
                <w:sz w:val="17"/>
              </w:rPr>
              <w:t>Item</w:t>
            </w:r>
          </w:p>
        </w:tc>
        <w:tc>
          <w:tcPr>
            <w:tcW w:type="dxa" w:w="3408"/>
            <w:shd w:fill="0F3B5C"/>
          </w:tcPr>
          <w:p>
            <w:r/>
            <w:r>
              <w:rPr>
                <w:b/>
                <w:color w:val="FFFFFF"/>
                <w:sz w:val="17"/>
              </w:rPr>
              <w:t>Details to provide</w:t>
            </w:r>
          </w:p>
        </w:tc>
        <w:tc>
          <w:tcPr>
            <w:tcW w:type="dxa" w:w="3408"/>
            <w:shd w:fill="0F3B5C"/>
          </w:tcPr>
          <w:p>
            <w:r/>
            <w:r>
              <w:rPr>
                <w:b/>
                <w:color w:val="FFFFFF"/>
                <w:sz w:val="17"/>
              </w:rPr>
              <w:t>Checked</w:t>
            </w:r>
          </w:p>
        </w:tc>
      </w:tr>
      <w:tr>
        <w:tc>
          <w:tcPr>
            <w:tcW w:type="dxa" w:w="3408"/>
          </w:tcPr>
          <w:p>
            <w:r/>
            <w:r>
              <w:rPr>
                <w:sz w:val="17"/>
              </w:rPr>
              <w:t>Patient name and date of birth</w:t>
            </w:r>
          </w:p>
        </w:tc>
        <w:tc>
          <w:tcPr>
            <w:tcW w:type="dxa" w:w="3408"/>
          </w:tcPr>
          <w:p>
            <w:r/>
            <w:r>
              <w:rPr>
                <w:sz w:val="17"/>
              </w:rPr>
            </w:r>
          </w:p>
        </w:tc>
        <w:tc>
          <w:tcPr>
            <w:tcW w:type="dxa" w:w="3408"/>
          </w:tcPr>
          <w:p>
            <w:r/>
            <w:r>
              <w:rPr>
                <w:sz w:val="17"/>
              </w:rPr>
              <w:t>☐</w:t>
            </w:r>
          </w:p>
        </w:tc>
      </w:tr>
      <w:tr>
        <w:tc>
          <w:tcPr>
            <w:tcW w:type="dxa" w:w="3408"/>
          </w:tcPr>
          <w:p>
            <w:r/>
            <w:r>
              <w:rPr>
                <w:sz w:val="17"/>
              </w:rPr>
              <w:t>GP practice and named GP</w:t>
            </w:r>
          </w:p>
        </w:tc>
        <w:tc>
          <w:tcPr>
            <w:tcW w:type="dxa" w:w="3408"/>
          </w:tcPr>
          <w:p>
            <w:r/>
            <w:r>
              <w:rPr>
                <w:sz w:val="17"/>
              </w:rPr>
            </w:r>
          </w:p>
        </w:tc>
        <w:tc>
          <w:tcPr>
            <w:tcW w:type="dxa" w:w="3408"/>
          </w:tcPr>
          <w:p>
            <w:r/>
            <w:r>
              <w:rPr>
                <w:sz w:val="17"/>
              </w:rPr>
              <w:t>☐</w:t>
            </w:r>
          </w:p>
        </w:tc>
      </w:tr>
      <w:tr>
        <w:tc>
          <w:tcPr>
            <w:tcW w:type="dxa" w:w="3408"/>
          </w:tcPr>
          <w:p>
            <w:r/>
            <w:r>
              <w:rPr>
                <w:sz w:val="17"/>
              </w:rPr>
              <w:t>Current medical conditions, with dates</w:t>
            </w:r>
          </w:p>
        </w:tc>
        <w:tc>
          <w:tcPr>
            <w:tcW w:type="dxa" w:w="3408"/>
          </w:tcPr>
          <w:p>
            <w:r/>
            <w:r>
              <w:rPr>
                <w:sz w:val="17"/>
              </w:rPr>
            </w:r>
          </w:p>
        </w:tc>
        <w:tc>
          <w:tcPr>
            <w:tcW w:type="dxa" w:w="3408"/>
          </w:tcPr>
          <w:p>
            <w:r/>
            <w:r>
              <w:rPr>
                <w:sz w:val="17"/>
              </w:rPr>
              <w:t>☐</w:t>
            </w:r>
          </w:p>
        </w:tc>
      </w:tr>
      <w:tr>
        <w:tc>
          <w:tcPr>
            <w:tcW w:type="dxa" w:w="3408"/>
          </w:tcPr>
          <w:p>
            <w:r/>
            <w:r>
              <w:rPr>
                <w:sz w:val="17"/>
              </w:rPr>
              <w:t>Thyroid function and other relevant blood tests, with dates</w:t>
            </w:r>
          </w:p>
        </w:tc>
        <w:tc>
          <w:tcPr>
            <w:tcW w:type="dxa" w:w="3408"/>
          </w:tcPr>
          <w:p>
            <w:r/>
            <w:r>
              <w:rPr>
                <w:sz w:val="17"/>
              </w:rPr>
            </w:r>
          </w:p>
        </w:tc>
        <w:tc>
          <w:tcPr>
            <w:tcW w:type="dxa" w:w="3408"/>
          </w:tcPr>
          <w:p>
            <w:r/>
            <w:r>
              <w:rPr>
                <w:sz w:val="17"/>
              </w:rPr>
              <w:t>☐</w:t>
            </w:r>
          </w:p>
        </w:tc>
      </w:tr>
      <w:tr>
        <w:tc>
          <w:tcPr>
            <w:tcW w:type="dxa" w:w="3408"/>
          </w:tcPr>
          <w:p>
            <w:r/>
            <w:r>
              <w:rPr>
                <w:sz w:val="17"/>
              </w:rPr>
              <w:t>Current medicines, doses and adherence concerns</w:t>
            </w:r>
          </w:p>
        </w:tc>
        <w:tc>
          <w:tcPr>
            <w:tcW w:type="dxa" w:w="3408"/>
          </w:tcPr>
          <w:p>
            <w:r/>
            <w:r>
              <w:rPr>
                <w:sz w:val="17"/>
              </w:rPr>
            </w:r>
          </w:p>
        </w:tc>
        <w:tc>
          <w:tcPr>
            <w:tcW w:type="dxa" w:w="3408"/>
          </w:tcPr>
          <w:p>
            <w:r/>
            <w:r>
              <w:rPr>
                <w:sz w:val="17"/>
              </w:rPr>
              <w:t>☐</w:t>
            </w:r>
          </w:p>
        </w:tc>
      </w:tr>
      <w:tr>
        <w:tc>
          <w:tcPr>
            <w:tcW w:type="dxa" w:w="3408"/>
          </w:tcPr>
          <w:p>
            <w:r/>
            <w:r>
              <w:rPr>
                <w:sz w:val="17"/>
              </w:rPr>
              <w:t>Known allergies and previous adverse drug reactions</w:t>
            </w:r>
          </w:p>
        </w:tc>
        <w:tc>
          <w:tcPr>
            <w:tcW w:type="dxa" w:w="3408"/>
          </w:tcPr>
          <w:p>
            <w:r/>
            <w:r>
              <w:rPr>
                <w:sz w:val="17"/>
              </w:rPr>
            </w:r>
          </w:p>
        </w:tc>
        <w:tc>
          <w:tcPr>
            <w:tcW w:type="dxa" w:w="3408"/>
          </w:tcPr>
          <w:p>
            <w:r/>
            <w:r>
              <w:rPr>
                <w:sz w:val="17"/>
              </w:rPr>
              <w:t>☐</w:t>
            </w:r>
          </w:p>
        </w:tc>
      </w:tr>
      <w:tr>
        <w:tc>
          <w:tcPr>
            <w:tcW w:type="dxa" w:w="3408"/>
          </w:tcPr>
          <w:p>
            <w:r/>
            <w:r>
              <w:rPr>
                <w:sz w:val="17"/>
              </w:rPr>
              <w:t>Blood pressure and pulse, most recent, with date</w:t>
            </w:r>
          </w:p>
        </w:tc>
        <w:tc>
          <w:tcPr>
            <w:tcW w:type="dxa" w:w="3408"/>
          </w:tcPr>
          <w:p>
            <w:r/>
            <w:r>
              <w:rPr>
                <w:sz w:val="17"/>
              </w:rPr>
            </w:r>
          </w:p>
        </w:tc>
        <w:tc>
          <w:tcPr>
            <w:tcW w:type="dxa" w:w="3408"/>
          </w:tcPr>
          <w:p>
            <w:r/>
            <w:r>
              <w:rPr>
                <w:sz w:val="17"/>
              </w:rPr>
              <w:t>☐</w:t>
            </w:r>
          </w:p>
        </w:tc>
      </w:tr>
      <w:tr>
        <w:tc>
          <w:tcPr>
            <w:tcW w:type="dxa" w:w="3408"/>
          </w:tcPr>
          <w:p>
            <w:r/>
            <w:r>
              <w:rPr>
                <w:sz w:val="17"/>
              </w:rPr>
              <w:t>Height, weight and body mass index, with date</w:t>
            </w:r>
          </w:p>
        </w:tc>
        <w:tc>
          <w:tcPr>
            <w:tcW w:type="dxa" w:w="3408"/>
          </w:tcPr>
          <w:p>
            <w:r/>
            <w:r>
              <w:rPr>
                <w:sz w:val="17"/>
              </w:rPr>
            </w:r>
          </w:p>
        </w:tc>
        <w:tc>
          <w:tcPr>
            <w:tcW w:type="dxa" w:w="3408"/>
          </w:tcPr>
          <w:p>
            <w:r/>
            <w:r>
              <w:rPr>
                <w:sz w:val="17"/>
              </w:rPr>
              <w:t>☐</w:t>
            </w:r>
          </w:p>
        </w:tc>
      </w:tr>
      <w:tr>
        <w:tc>
          <w:tcPr>
            <w:tcW w:type="dxa" w:w="3408"/>
          </w:tcPr>
          <w:p>
            <w:r/>
            <w:r>
              <w:rPr>
                <w:sz w:val="17"/>
              </w:rPr>
              <w:t>Cardiac history, palpitations, syncope, family history of sudden cardiac death</w:t>
            </w:r>
          </w:p>
        </w:tc>
        <w:tc>
          <w:tcPr>
            <w:tcW w:type="dxa" w:w="3408"/>
          </w:tcPr>
          <w:p>
            <w:r/>
            <w:r>
              <w:rPr>
                <w:sz w:val="17"/>
              </w:rPr>
            </w:r>
          </w:p>
        </w:tc>
        <w:tc>
          <w:tcPr>
            <w:tcW w:type="dxa" w:w="3408"/>
          </w:tcPr>
          <w:p>
            <w:r/>
            <w:r>
              <w:rPr>
                <w:sz w:val="17"/>
              </w:rPr>
              <w:t>☐</w:t>
            </w:r>
          </w:p>
        </w:tc>
      </w:tr>
      <w:tr>
        <w:tc>
          <w:tcPr>
            <w:tcW w:type="dxa" w:w="3408"/>
          </w:tcPr>
          <w:p>
            <w:r/>
            <w:r>
              <w:rPr>
                <w:sz w:val="17"/>
              </w:rPr>
              <w:t>ECG done or needed, with reason and date</w:t>
            </w:r>
          </w:p>
        </w:tc>
        <w:tc>
          <w:tcPr>
            <w:tcW w:type="dxa" w:w="3408"/>
          </w:tcPr>
          <w:p>
            <w:r/>
            <w:r>
              <w:rPr>
                <w:sz w:val="17"/>
              </w:rPr>
            </w:r>
          </w:p>
        </w:tc>
        <w:tc>
          <w:tcPr>
            <w:tcW w:type="dxa" w:w="3408"/>
          </w:tcPr>
          <w:p>
            <w:r/>
            <w:r>
              <w:rPr>
                <w:sz w:val="17"/>
              </w:rPr>
              <w:t>☐</w:t>
            </w:r>
          </w:p>
        </w:tc>
      </w:tr>
      <w:tr>
        <w:tc>
          <w:tcPr>
            <w:tcW w:type="dxa" w:w="3408"/>
          </w:tcPr>
          <w:p>
            <w:r/>
            <w:r>
              <w:rPr>
                <w:sz w:val="17"/>
              </w:rPr>
              <w:t>Mental health history and current treatment</w:t>
            </w:r>
          </w:p>
        </w:tc>
        <w:tc>
          <w:tcPr>
            <w:tcW w:type="dxa" w:w="3408"/>
          </w:tcPr>
          <w:p>
            <w:r/>
            <w:r>
              <w:rPr>
                <w:sz w:val="17"/>
              </w:rPr>
            </w:r>
          </w:p>
        </w:tc>
        <w:tc>
          <w:tcPr>
            <w:tcW w:type="dxa" w:w="3408"/>
          </w:tcPr>
          <w:p>
            <w:r/>
            <w:r>
              <w:rPr>
                <w:sz w:val="17"/>
              </w:rPr>
              <w:t>☐</w:t>
            </w:r>
          </w:p>
        </w:tc>
      </w:tr>
      <w:tr>
        <w:tc>
          <w:tcPr>
            <w:tcW w:type="dxa" w:w="3408"/>
          </w:tcPr>
          <w:p>
            <w:r/>
            <w:r>
              <w:rPr>
                <w:sz w:val="17"/>
              </w:rPr>
              <w:t>Substance use history as recorded</w:t>
            </w:r>
          </w:p>
        </w:tc>
        <w:tc>
          <w:tcPr>
            <w:tcW w:type="dxa" w:w="3408"/>
          </w:tcPr>
          <w:p>
            <w:r/>
            <w:r>
              <w:rPr>
                <w:sz w:val="17"/>
              </w:rPr>
            </w:r>
          </w:p>
        </w:tc>
        <w:tc>
          <w:tcPr>
            <w:tcW w:type="dxa" w:w="3408"/>
          </w:tcPr>
          <w:p>
            <w:r/>
            <w:r>
              <w:rPr>
                <w:sz w:val="17"/>
              </w:rPr>
              <w:t>☐</w:t>
            </w:r>
          </w:p>
        </w:tc>
      </w:tr>
      <w:tr>
        <w:tc>
          <w:tcPr>
            <w:tcW w:type="dxa" w:w="3408"/>
          </w:tcPr>
          <w:p>
            <w:r/>
            <w:r>
              <w:rPr>
                <w:sz w:val="17"/>
              </w:rPr>
              <w:t>Safeguarding or vulnerability alerts on record</w:t>
            </w:r>
          </w:p>
        </w:tc>
        <w:tc>
          <w:tcPr>
            <w:tcW w:type="dxa" w:w="3408"/>
          </w:tcPr>
          <w:p>
            <w:r/>
            <w:r>
              <w:rPr>
                <w:sz w:val="17"/>
              </w:rPr>
            </w:r>
          </w:p>
        </w:tc>
        <w:tc>
          <w:tcPr>
            <w:tcW w:type="dxa" w:w="3408"/>
          </w:tcPr>
          <w:p>
            <w:r/>
            <w:r>
              <w:rPr>
                <w:sz w:val="17"/>
              </w:rPr>
              <w:t>☐</w:t>
            </w:r>
          </w:p>
        </w:tc>
      </w:tr>
      <w:tr>
        <w:tc>
          <w:tcPr>
            <w:tcW w:type="dxa" w:w="3408"/>
          </w:tcPr>
          <w:p>
            <w:r/>
            <w:r>
              <w:rPr>
                <w:sz w:val="17"/>
              </w:rPr>
              <w:t>Pregnancy status or plans, if relevant to prescribing</w:t>
            </w:r>
          </w:p>
        </w:tc>
        <w:tc>
          <w:tcPr>
            <w:tcW w:type="dxa" w:w="3408"/>
          </w:tcPr>
          <w:p>
            <w:r/>
            <w:r>
              <w:rPr>
                <w:sz w:val="17"/>
              </w:rPr>
            </w:r>
          </w:p>
        </w:tc>
        <w:tc>
          <w:tcPr>
            <w:tcW w:type="dxa" w:w="3408"/>
          </w:tcPr>
          <w:p>
            <w:r/>
            <w:r>
              <w:rPr>
                <w:sz w:val="17"/>
              </w:rPr>
              <w:t>☐</w:t>
            </w:r>
          </w:p>
        </w:tc>
      </w:tr>
      <w:tr>
        <w:tc>
          <w:tcPr>
            <w:tcW w:type="dxa" w:w="3408"/>
          </w:tcPr>
          <w:p>
            <w:r/>
            <w:r>
              <w:rPr>
                <w:sz w:val="17"/>
              </w:rPr>
              <w:t>Summary care record or patient summary attached</w:t>
            </w:r>
          </w:p>
        </w:tc>
        <w:tc>
          <w:tcPr>
            <w:tcW w:type="dxa" w:w="3408"/>
          </w:tcPr>
          <w:p>
            <w:r/>
            <w:r>
              <w:rPr>
                <w:sz w:val="17"/>
              </w:rPr>
            </w:r>
          </w:p>
        </w:tc>
        <w:tc>
          <w:tcPr>
            <w:tcW w:type="dxa" w:w="3408"/>
          </w:tcPr>
          <w:p>
            <w:r/>
            <w:r>
              <w:rPr>
                <w:sz w:val="17"/>
              </w:rPr>
              <w:t>☐</w:t>
            </w:r>
          </w:p>
        </w:tc>
      </w:tr>
    </w:tbl>
    <w:p>
      <w:pPr>
        <w:spacing w:after="40"/>
      </w:pPr>
    </w:p>
    <w:p>
      <w:pPr>
        <w:spacing w:after="100"/>
      </w:pPr>
      <w:r>
        <w:rPr>
          <w:b w:val="0"/>
          <w:i w:val="0"/>
          <w:sz w:val="18"/>
        </w:rPr>
        <w:t>Practice stamp or clinician name, signature and date:</w:t>
      </w:r>
    </w:p>
    <w:p>
      <w:pPr>
        <w:spacing w:after="40"/>
        <w:pBdr>
          <w:bottom w:val="single" w:sz="4" w:space="1" w:color="B0BEC5"/>
        </w:pBdr>
      </w:pPr>
    </w:p>
    <w:p>
      <w:pPr>
        <w:spacing w:after="40"/>
        <w:pBdr>
          <w:bottom w:val="single" w:sz="4" w:space="1" w:color="B0BEC5"/>
        </w:pBdr>
      </w:pPr>
    </w:p>
    <w:tbl>
      <w:tblPr>
        <w:tblStyle w:val="TableGrid"/>
        <w:tblW w:type="auto" w:w="0"/>
        <w:tblLook w:firstColumn="1" w:firstRow="1" w:lastColumn="0" w:lastRow="0" w:noHBand="0" w:noVBand="1" w:val="04A0"/>
      </w:tblPr>
      <w:tblGrid>
        <w:gridCol w:w="10224"/>
      </w:tblGrid>
      <w:tr>
        <w:tc>
          <w:tcPr>
            <w:tcW w:type="dxa" w:w="10224"/>
            <w:shd w:fill="EAF2F8"/>
          </w:tcPr>
          <w:p>
            <w:r/>
            <w:r>
              <w:rPr>
                <w:b/>
                <w:color w:val="0F3B5C"/>
              </w:rPr>
              <w:t xml:space="preserve">For the assessing clinician: </w:t>
            </w:r>
            <w:r>
              <w:t>Medication is not started where mental state is unstable. In the Psychiatry UK model a dedicated risk team assesses higher risk cases first. Please flag instability, active suicidal intent, psychosis, mania or uncontrolled substance use on this summary.</w:t>
            </w:r>
          </w:p>
        </w:tc>
      </w:tr>
    </w:tbl>
    <w:p>
      <w:pPr>
        <w:spacing w:after="40"/>
      </w:pPr>
    </w:p>
    <w:p>
      <w:pPr>
        <w:pStyle w:val="Heading1"/>
      </w:pPr>
      <w:r>
        <w:t>Medication and titration monitoring sheet</w:t>
      </w:r>
    </w:p>
    <w:p>
      <w:pPr>
        <w:spacing w:after="100"/>
      </w:pPr>
      <w:r>
        <w:rPr>
          <w:b w:val="0"/>
          <w:i w:val="0"/>
          <w:sz w:val="20"/>
        </w:rPr>
        <w:t>Use this section only if a diagnosis is made and medication is offered and you choose to try it. Medication is a choice, not an automatic result of diagnosis. Psychological support, coaching, education or workplace adjustments and sleep and lifestyle work can all be part of a plan with or without medication.</w:t>
      </w:r>
    </w:p>
    <w:p>
      <w:pPr>
        <w:pStyle w:val="Heading2"/>
      </w:pPr>
      <w:r>
        <w:t>What titration involves</w:t>
      </w:r>
    </w:p>
    <w:p>
      <w:pPr>
        <w:pStyle w:val="ListBullet"/>
        <w:spacing w:after="40"/>
      </w:pPr>
      <w:r>
        <w:t>First line treatment is usually a stimulant medicine. Titration in the Psychiatry UK model takes about 12 to 14 weeks, starting low and increasing step by step.</w:t>
      </w:r>
    </w:p>
    <w:p>
      <w:pPr>
        <w:pStyle w:val="ListBullet"/>
        <w:spacing w:after="40"/>
      </w:pPr>
      <w:r>
        <w:t>Second line treatment is atomoxetine, a nonstimulant medicine, which can suit people with cardiovascular risk or people who do not tolerate stimulants.</w:t>
      </w:r>
    </w:p>
    <w:p>
      <w:pPr>
        <w:pStyle w:val="ListBullet"/>
        <w:spacing w:after="40"/>
      </w:pPr>
      <w:r>
        <w:t>Common side effects to watch for and report are insomnia, agitation, anxiety and raised blood pressure and pulse, as well as appetite change, headache and mood change.</w:t>
      </w:r>
    </w:p>
    <w:p>
      <w:pPr>
        <w:pStyle w:val="ListBullet"/>
        <w:spacing w:after="40"/>
      </w:pPr>
      <w:r>
        <w:t>Blood pressure and pulse are checked after each dose change, and then every six months, with height, weight and appetite also reviewed.</w:t>
      </w:r>
    </w:p>
    <w:p>
      <w:pPr>
        <w:pStyle w:val="ListBullet"/>
        <w:spacing w:after="40"/>
      </w:pPr>
      <w:r>
        <w:t>In the overview supplied for this pack, treatment does not continue if blood pressure reaches 190 over 110. Treat that as an urgent safety threshold from that overview, not as a target. If your readings are persistently high, or you feel unwell, seek medical advice the same day rather than waiting for the next review.</w:t>
      </w:r>
    </w:p>
    <w:p>
      <w:pPr>
        <w:pStyle w:val="ListBullet"/>
        <w:spacing w:after="40"/>
      </w:pPr>
      <w:r>
        <w:t>An ECG is requested if palpitations are reported, or where cardiac history makes it necessary. It is not routine for everyone.</w:t>
      </w:r>
    </w:p>
    <w:p>
      <w:pPr>
        <w:pStyle w:val="ListBullet"/>
        <w:spacing w:after="40"/>
      </w:pPr>
      <w:r>
        <w:t>After titration, your GP may take over prescribing under a shared care agreement if the GP agrees. GPs sometimes decline shared care because of funding and workload pressures. If that happens, ask the provider who will prescribe and monitor you, and get the answer in writing.</w:t>
      </w:r>
    </w:p>
    <w:p>
      <w:pPr>
        <w:pStyle w:val="ListBullet"/>
        <w:spacing w:after="40"/>
      </w:pPr>
      <w:r>
        <w:t>Some women notice that symptoms and medication response vary across the menstrual cycle, which may reflect hormonal effects on dopamine. Dose adjustment around menstruation is being explored and is not yet standard NICE guidance. Record cycle dates in the log below if this applies to you, and discuss the pattern with your prescriber rather than changing a dose yourself.</w:t>
      </w:r>
    </w:p>
    <w:tbl>
      <w:tblPr>
        <w:tblStyle w:val="TableGrid"/>
        <w:tblW w:type="auto" w:w="0"/>
        <w:tblLook w:firstColumn="1" w:firstRow="1" w:lastColumn="0" w:lastRow="0" w:noHBand="0" w:noVBand="1" w:val="04A0"/>
      </w:tblPr>
      <w:tblGrid>
        <w:gridCol w:w="10224"/>
      </w:tblGrid>
      <w:tr>
        <w:tc>
          <w:tcPr>
            <w:tcW w:type="dxa" w:w="10224"/>
            <w:shd w:fill="EAF2F8"/>
          </w:tcPr>
          <w:p>
            <w:r/>
            <w:r>
              <w:rPr>
                <w:b/>
                <w:color w:val="0F3B5C"/>
              </w:rPr>
              <w:t xml:space="preserve">Safety: </w:t>
            </w:r>
            <w:r>
              <w:t>Never change, share or stop prescribed ADHD medication on the advice of anyone other than your prescriber. Store stimulant medication securely. Report palpitations, chest pain, fainting, severe agitation or suicidal thoughts urgently.</w:t>
            </w:r>
          </w:p>
        </w:tc>
      </w:tr>
    </w:tbl>
    <w:p>
      <w:pPr>
        <w:spacing w:after="40"/>
      </w:pPr>
    </w:p>
    <w:p>
      <w:pPr>
        <w:pStyle w:val="Heading2"/>
      </w:pPr>
      <w:r>
        <w:t>Weekly titration log</w:t>
      </w:r>
    </w:p>
    <w:p>
      <w:pPr>
        <w:spacing w:after="100"/>
      </w:pPr>
      <w:r>
        <w:rPr>
          <w:b w:val="0"/>
          <w:i w:val="0"/>
          <w:sz w:val="20"/>
        </w:rPr>
        <w:t>Fill in one row each week, or more often if your prescriber asks. Take blood pressure and pulse as instructed, sitting, after resting, and record the time of day and when you took the dose.</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fill="0F3B5C"/>
          </w:tcPr>
          <w:p>
            <w:r/>
            <w:r>
              <w:rPr>
                <w:b/>
                <w:color w:val="FFFFFF"/>
                <w:sz w:val="17"/>
              </w:rPr>
              <w:t>Week and date</w:t>
            </w:r>
          </w:p>
        </w:tc>
        <w:tc>
          <w:tcPr>
            <w:tcW w:type="dxa" w:w="1278"/>
            <w:shd w:fill="0F3B5C"/>
          </w:tcPr>
          <w:p>
            <w:r/>
            <w:r>
              <w:rPr>
                <w:b/>
                <w:color w:val="FFFFFF"/>
                <w:sz w:val="17"/>
              </w:rPr>
              <w:t>Medicine and dose</w:t>
            </w:r>
          </w:p>
        </w:tc>
        <w:tc>
          <w:tcPr>
            <w:tcW w:type="dxa" w:w="1278"/>
            <w:shd w:fill="0F3B5C"/>
          </w:tcPr>
          <w:p>
            <w:r/>
            <w:r>
              <w:rPr>
                <w:b/>
                <w:color w:val="FFFFFF"/>
                <w:sz w:val="17"/>
              </w:rPr>
              <w:t>Blood pressure</w:t>
            </w:r>
          </w:p>
        </w:tc>
        <w:tc>
          <w:tcPr>
            <w:tcW w:type="dxa" w:w="1278"/>
            <w:shd w:fill="0F3B5C"/>
          </w:tcPr>
          <w:p>
            <w:r/>
            <w:r>
              <w:rPr>
                <w:b/>
                <w:color w:val="FFFFFF"/>
                <w:sz w:val="17"/>
              </w:rPr>
              <w:t>Pulse</w:t>
            </w:r>
          </w:p>
        </w:tc>
        <w:tc>
          <w:tcPr>
            <w:tcW w:type="dxa" w:w="1278"/>
            <w:shd w:fill="0F3B5C"/>
          </w:tcPr>
          <w:p>
            <w:r/>
            <w:r>
              <w:rPr>
                <w:b/>
                <w:color w:val="FFFFFF"/>
                <w:sz w:val="17"/>
              </w:rPr>
              <w:t>Sleep and appetite</w:t>
            </w:r>
          </w:p>
        </w:tc>
        <w:tc>
          <w:tcPr>
            <w:tcW w:type="dxa" w:w="1278"/>
            <w:shd w:fill="0F3B5C"/>
          </w:tcPr>
          <w:p>
            <w:r/>
            <w:r>
              <w:rPr>
                <w:b/>
                <w:color w:val="FFFFFF"/>
                <w:sz w:val="17"/>
              </w:rPr>
              <w:t>Benefit noticed</w:t>
            </w:r>
          </w:p>
        </w:tc>
        <w:tc>
          <w:tcPr>
            <w:tcW w:type="dxa" w:w="1278"/>
            <w:shd w:fill="0F3B5C"/>
          </w:tcPr>
          <w:p>
            <w:r/>
            <w:r>
              <w:rPr>
                <w:b/>
                <w:color w:val="FFFFFF"/>
                <w:sz w:val="17"/>
              </w:rPr>
              <w:t>Side effects and severity 0 to 10</w:t>
            </w:r>
          </w:p>
        </w:tc>
        <w:tc>
          <w:tcPr>
            <w:tcW w:type="dxa" w:w="1278"/>
            <w:shd w:fill="0F3B5C"/>
          </w:tcPr>
          <w:p>
            <w:r/>
            <w:r>
              <w:rPr>
                <w:b/>
                <w:color w:val="FFFFFF"/>
                <w:sz w:val="17"/>
              </w:rPr>
              <w:t>Notes, including cycle day if relevant</w:t>
            </w:r>
          </w:p>
        </w:tc>
      </w:tr>
      <w:tr>
        <w:tc>
          <w:tcPr>
            <w:tcW w:type="dxa" w:w="1278"/>
          </w:tcPr>
          <w:p>
            <w:r/>
            <w:r>
              <w:rPr>
                <w:sz w:val="17"/>
              </w:rPr>
              <w:t>1</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2</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3</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4</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5</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6</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7</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8</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bl>
    <w:p>
      <w:pPr>
        <w:spacing w:after="40"/>
      </w:pP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fill="0F3B5C"/>
          </w:tcPr>
          <w:p>
            <w:r/>
            <w:r>
              <w:rPr>
                <w:b/>
                <w:color w:val="FFFFFF"/>
                <w:sz w:val="17"/>
              </w:rPr>
              <w:t>Week and date</w:t>
            </w:r>
          </w:p>
        </w:tc>
        <w:tc>
          <w:tcPr>
            <w:tcW w:type="dxa" w:w="1278"/>
            <w:shd w:fill="0F3B5C"/>
          </w:tcPr>
          <w:p>
            <w:r/>
            <w:r>
              <w:rPr>
                <w:b/>
                <w:color w:val="FFFFFF"/>
                <w:sz w:val="17"/>
              </w:rPr>
              <w:t>Medicine and dose</w:t>
            </w:r>
          </w:p>
        </w:tc>
        <w:tc>
          <w:tcPr>
            <w:tcW w:type="dxa" w:w="1278"/>
            <w:shd w:fill="0F3B5C"/>
          </w:tcPr>
          <w:p>
            <w:r/>
            <w:r>
              <w:rPr>
                <w:b/>
                <w:color w:val="FFFFFF"/>
                <w:sz w:val="17"/>
              </w:rPr>
              <w:t>Blood pressure</w:t>
            </w:r>
          </w:p>
        </w:tc>
        <w:tc>
          <w:tcPr>
            <w:tcW w:type="dxa" w:w="1278"/>
            <w:shd w:fill="0F3B5C"/>
          </w:tcPr>
          <w:p>
            <w:r/>
            <w:r>
              <w:rPr>
                <w:b/>
                <w:color w:val="FFFFFF"/>
                <w:sz w:val="17"/>
              </w:rPr>
              <w:t>Pulse</w:t>
            </w:r>
          </w:p>
        </w:tc>
        <w:tc>
          <w:tcPr>
            <w:tcW w:type="dxa" w:w="1278"/>
            <w:shd w:fill="0F3B5C"/>
          </w:tcPr>
          <w:p>
            <w:r/>
            <w:r>
              <w:rPr>
                <w:b/>
                <w:color w:val="FFFFFF"/>
                <w:sz w:val="17"/>
              </w:rPr>
              <w:t>Sleep and appetite</w:t>
            </w:r>
          </w:p>
        </w:tc>
        <w:tc>
          <w:tcPr>
            <w:tcW w:type="dxa" w:w="1278"/>
            <w:shd w:fill="0F3B5C"/>
          </w:tcPr>
          <w:p>
            <w:r/>
            <w:r>
              <w:rPr>
                <w:b/>
                <w:color w:val="FFFFFF"/>
                <w:sz w:val="17"/>
              </w:rPr>
              <w:t>Benefit noticed</w:t>
            </w:r>
          </w:p>
        </w:tc>
        <w:tc>
          <w:tcPr>
            <w:tcW w:type="dxa" w:w="1278"/>
            <w:shd w:fill="0F3B5C"/>
          </w:tcPr>
          <w:p>
            <w:r/>
            <w:r>
              <w:rPr>
                <w:b/>
                <w:color w:val="FFFFFF"/>
                <w:sz w:val="17"/>
              </w:rPr>
              <w:t>Side effects and severity 0 to 10</w:t>
            </w:r>
          </w:p>
        </w:tc>
        <w:tc>
          <w:tcPr>
            <w:tcW w:type="dxa" w:w="1278"/>
            <w:shd w:fill="0F3B5C"/>
          </w:tcPr>
          <w:p>
            <w:r/>
            <w:r>
              <w:rPr>
                <w:b/>
                <w:color w:val="FFFFFF"/>
                <w:sz w:val="17"/>
              </w:rPr>
              <w:t>Notes, including cycle day if relevant</w:t>
            </w:r>
          </w:p>
        </w:tc>
      </w:tr>
      <w:tr>
        <w:tc>
          <w:tcPr>
            <w:tcW w:type="dxa" w:w="1278"/>
          </w:tcPr>
          <w:p>
            <w:r/>
            <w:r>
              <w:rPr>
                <w:sz w:val="17"/>
              </w:rPr>
              <w:t>9</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10</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11</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12</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13</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r>
        <w:tc>
          <w:tcPr>
            <w:tcW w:type="dxa" w:w="1278"/>
          </w:tcPr>
          <w:p>
            <w:r/>
            <w:r>
              <w:rPr>
                <w:sz w:val="17"/>
              </w:rPr>
              <w:t>14</w:t>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c>
          <w:tcPr>
            <w:tcW w:type="dxa" w:w="1278"/>
          </w:tcPr>
          <w:p>
            <w:r/>
            <w:r>
              <w:rPr>
                <w:sz w:val="17"/>
              </w:rPr>
            </w:r>
          </w:p>
        </w:tc>
      </w:tr>
    </w:tbl>
    <w:p>
      <w:pPr>
        <w:spacing w:after="40"/>
      </w:pPr>
    </w:p>
    <w:p>
      <w:pPr>
        <w:pStyle w:val="Heading2"/>
      </w:pPr>
      <w:r>
        <w:t>Six monthly review record</w:t>
      </w:r>
    </w:p>
    <w:tbl>
      <w:tblPr>
        <w:tblStyle w:val="TableGrid"/>
        <w:tblW w:type="auto" w:w="0"/>
        <w:jc w:val="center"/>
        <w:tblLook w:firstColumn="1" w:firstRow="1" w:lastColumn="0" w:lastRow="0" w:noHBand="0" w:noVBand="1" w:val="04A0"/>
      </w:tblPr>
      <w:tblGrid>
        <w:gridCol w:w="1461"/>
        <w:gridCol w:w="1461"/>
        <w:gridCol w:w="1461"/>
        <w:gridCol w:w="1461"/>
        <w:gridCol w:w="1461"/>
        <w:gridCol w:w="1461"/>
        <w:gridCol w:w="1461"/>
      </w:tblGrid>
      <w:tr>
        <w:tc>
          <w:tcPr>
            <w:tcW w:type="dxa" w:w="1461"/>
            <w:shd w:fill="0F3B5C"/>
          </w:tcPr>
          <w:p>
            <w:r/>
            <w:r>
              <w:rPr>
                <w:b/>
                <w:color w:val="FFFFFF"/>
                <w:sz w:val="17"/>
              </w:rPr>
              <w:t>Date</w:t>
            </w:r>
          </w:p>
        </w:tc>
        <w:tc>
          <w:tcPr>
            <w:tcW w:type="dxa" w:w="1461"/>
            <w:shd w:fill="0F3B5C"/>
          </w:tcPr>
          <w:p>
            <w:r/>
            <w:r>
              <w:rPr>
                <w:b/>
                <w:color w:val="FFFFFF"/>
                <w:sz w:val="17"/>
              </w:rPr>
              <w:t>Blood pressure and pulse</w:t>
            </w:r>
          </w:p>
        </w:tc>
        <w:tc>
          <w:tcPr>
            <w:tcW w:type="dxa" w:w="1461"/>
            <w:shd w:fill="0F3B5C"/>
          </w:tcPr>
          <w:p>
            <w:r/>
            <w:r>
              <w:rPr>
                <w:b/>
                <w:color w:val="FFFFFF"/>
                <w:sz w:val="17"/>
              </w:rPr>
              <w:t>Weight</w:t>
            </w:r>
          </w:p>
        </w:tc>
        <w:tc>
          <w:tcPr>
            <w:tcW w:type="dxa" w:w="1461"/>
            <w:shd w:fill="0F3B5C"/>
          </w:tcPr>
          <w:p>
            <w:r/>
            <w:r>
              <w:rPr>
                <w:b/>
                <w:color w:val="FFFFFF"/>
                <w:sz w:val="17"/>
              </w:rPr>
              <w:t>Benefit and functioning</w:t>
            </w:r>
          </w:p>
        </w:tc>
        <w:tc>
          <w:tcPr>
            <w:tcW w:type="dxa" w:w="1461"/>
            <w:shd w:fill="0F3B5C"/>
          </w:tcPr>
          <w:p>
            <w:r/>
            <w:r>
              <w:rPr>
                <w:b/>
                <w:color w:val="FFFFFF"/>
                <w:sz w:val="17"/>
              </w:rPr>
              <w:t>Side effects</w:t>
            </w:r>
          </w:p>
        </w:tc>
        <w:tc>
          <w:tcPr>
            <w:tcW w:type="dxa" w:w="1461"/>
            <w:shd w:fill="0F3B5C"/>
          </w:tcPr>
          <w:p>
            <w:r/>
            <w:r>
              <w:rPr>
                <w:b/>
                <w:color w:val="FFFFFF"/>
                <w:sz w:val="17"/>
              </w:rPr>
              <w:t>Dose decision</w:t>
            </w:r>
          </w:p>
        </w:tc>
        <w:tc>
          <w:tcPr>
            <w:tcW w:type="dxa" w:w="1461"/>
            <w:shd w:fill="0F3B5C"/>
          </w:tcPr>
          <w:p>
            <w:r/>
            <w:r>
              <w:rPr>
                <w:b/>
                <w:color w:val="FFFFFF"/>
                <w:sz w:val="17"/>
              </w:rPr>
              <w:t>Next review date</w:t>
            </w:r>
          </w:p>
        </w:tc>
      </w:tr>
      <w:tr>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r>
      <w:tr>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r>
      <w:tr>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r>
      <w:tr>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c>
          <w:tcPr>
            <w:tcW w:type="dxa" w:w="1461"/>
          </w:tcPr>
          <w:p>
            <w:r/>
            <w:r>
              <w:rPr>
                <w:sz w:val="17"/>
              </w:rPr>
            </w:r>
          </w:p>
        </w:tc>
      </w:tr>
    </w:tbl>
    <w:p>
      <w:pPr>
        <w:spacing w:after="40"/>
      </w:pPr>
    </w:p>
    <w:p>
      <w:r>
        <w:br w:type="page"/>
      </w:r>
    </w:p>
    <w:p>
      <w:pPr>
        <w:pStyle w:val="Heading1"/>
      </w:pPr>
      <w:r>
        <w:t>Timeline worksheet</w:t>
      </w:r>
    </w:p>
    <w:p>
      <w:pPr>
        <w:spacing w:after="100"/>
      </w:pPr>
      <w:r>
        <w:rPr>
          <w:b w:val="0"/>
          <w:i w:val="0"/>
          <w:sz w:val="20"/>
        </w:rPr>
        <w:t>One line per period. Exact dates are helpful but approximate ages are better than leaving a gap.</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0F3B5C"/>
          </w:tcPr>
          <w:p>
            <w:r/>
            <w:r>
              <w:rPr>
                <w:b/>
                <w:color w:val="FFFFFF"/>
                <w:sz w:val="17"/>
              </w:rPr>
              <w:t>Age or years</w:t>
            </w:r>
          </w:p>
        </w:tc>
        <w:tc>
          <w:tcPr>
            <w:tcW w:type="dxa" w:w="2556"/>
            <w:shd w:fill="0F3B5C"/>
          </w:tcPr>
          <w:p>
            <w:r/>
            <w:r>
              <w:rPr>
                <w:b/>
                <w:color w:val="FFFFFF"/>
                <w:sz w:val="17"/>
              </w:rPr>
              <w:t>School, college or work</w:t>
            </w:r>
          </w:p>
        </w:tc>
        <w:tc>
          <w:tcPr>
            <w:tcW w:type="dxa" w:w="2556"/>
            <w:shd w:fill="0F3B5C"/>
          </w:tcPr>
          <w:p>
            <w:r/>
            <w:r>
              <w:rPr>
                <w:b/>
                <w:color w:val="FFFFFF"/>
                <w:sz w:val="17"/>
              </w:rPr>
              <w:t>What was happening</w:t>
            </w:r>
          </w:p>
        </w:tc>
        <w:tc>
          <w:tcPr>
            <w:tcW w:type="dxa" w:w="2556"/>
            <w:shd w:fill="0F3B5C"/>
          </w:tcPr>
          <w:p>
            <w:r/>
            <w:r>
              <w:rPr>
                <w:b/>
                <w:color w:val="FFFFFF"/>
                <w:sz w:val="17"/>
              </w:rPr>
              <w:t>Evidence available</w:t>
            </w:r>
          </w:p>
        </w:tc>
      </w:tr>
      <w:tr>
        <w:tc>
          <w:tcPr>
            <w:tcW w:type="dxa" w:w="2556"/>
          </w:tcPr>
          <w:p>
            <w:r/>
            <w:r>
              <w:rPr>
                <w:sz w:val="17"/>
              </w:rPr>
              <w:t>0 to 4</w:t>
            </w:r>
          </w:p>
        </w:tc>
        <w:tc>
          <w:tcPr>
            <w:tcW w:type="dxa" w:w="2556"/>
          </w:tcPr>
          <w:p>
            <w:r/>
            <w:r>
              <w:rPr>
                <w:sz w:val="17"/>
              </w:rPr>
            </w:r>
          </w:p>
        </w:tc>
        <w:tc>
          <w:tcPr>
            <w:tcW w:type="dxa" w:w="2556"/>
          </w:tcPr>
          <w:p>
            <w:r/>
            <w:r>
              <w:rPr>
                <w:sz w:val="17"/>
              </w:rPr>
            </w:r>
          </w:p>
        </w:tc>
        <w:tc>
          <w:tcPr>
            <w:tcW w:type="dxa" w:w="2556"/>
          </w:tcPr>
          <w:p>
            <w:r/>
            <w:r>
              <w:rPr>
                <w:sz w:val="17"/>
              </w:rPr>
            </w:r>
          </w:p>
        </w:tc>
      </w:tr>
      <w:tr>
        <w:tc>
          <w:tcPr>
            <w:tcW w:type="dxa" w:w="2556"/>
          </w:tcPr>
          <w:p>
            <w:r/>
            <w:r>
              <w:rPr>
                <w:sz w:val="17"/>
              </w:rPr>
              <w:t>5 to 11</w:t>
            </w:r>
          </w:p>
        </w:tc>
        <w:tc>
          <w:tcPr>
            <w:tcW w:type="dxa" w:w="2556"/>
          </w:tcPr>
          <w:p>
            <w:r/>
            <w:r>
              <w:rPr>
                <w:sz w:val="17"/>
              </w:rPr>
            </w:r>
          </w:p>
        </w:tc>
        <w:tc>
          <w:tcPr>
            <w:tcW w:type="dxa" w:w="2556"/>
          </w:tcPr>
          <w:p>
            <w:r/>
            <w:r>
              <w:rPr>
                <w:sz w:val="17"/>
              </w:rPr>
            </w:r>
          </w:p>
        </w:tc>
        <w:tc>
          <w:tcPr>
            <w:tcW w:type="dxa" w:w="2556"/>
          </w:tcPr>
          <w:p>
            <w:r/>
            <w:r>
              <w:rPr>
                <w:sz w:val="17"/>
              </w:rPr>
            </w:r>
          </w:p>
        </w:tc>
      </w:tr>
      <w:tr>
        <w:tc>
          <w:tcPr>
            <w:tcW w:type="dxa" w:w="2556"/>
          </w:tcPr>
          <w:p>
            <w:r/>
            <w:r>
              <w:rPr>
                <w:sz w:val="17"/>
              </w:rPr>
              <w:t>12 to 16</w:t>
            </w:r>
          </w:p>
        </w:tc>
        <w:tc>
          <w:tcPr>
            <w:tcW w:type="dxa" w:w="2556"/>
          </w:tcPr>
          <w:p>
            <w:r/>
            <w:r>
              <w:rPr>
                <w:sz w:val="17"/>
              </w:rPr>
            </w:r>
          </w:p>
        </w:tc>
        <w:tc>
          <w:tcPr>
            <w:tcW w:type="dxa" w:w="2556"/>
          </w:tcPr>
          <w:p>
            <w:r/>
            <w:r>
              <w:rPr>
                <w:sz w:val="17"/>
              </w:rPr>
            </w:r>
          </w:p>
        </w:tc>
        <w:tc>
          <w:tcPr>
            <w:tcW w:type="dxa" w:w="2556"/>
          </w:tcPr>
          <w:p>
            <w:r/>
            <w:r>
              <w:rPr>
                <w:sz w:val="17"/>
              </w:rPr>
            </w:r>
          </w:p>
        </w:tc>
      </w:tr>
      <w:tr>
        <w:tc>
          <w:tcPr>
            <w:tcW w:type="dxa" w:w="2556"/>
          </w:tcPr>
          <w:p>
            <w:r/>
            <w:r>
              <w:rPr>
                <w:sz w:val="17"/>
              </w:rPr>
              <w:t>17 to 18</w:t>
            </w:r>
          </w:p>
        </w:tc>
        <w:tc>
          <w:tcPr>
            <w:tcW w:type="dxa" w:w="2556"/>
          </w:tcPr>
          <w:p>
            <w:r/>
            <w:r>
              <w:rPr>
                <w:sz w:val="17"/>
              </w:rPr>
            </w:r>
          </w:p>
        </w:tc>
        <w:tc>
          <w:tcPr>
            <w:tcW w:type="dxa" w:w="2556"/>
          </w:tcPr>
          <w:p>
            <w:r/>
            <w:r>
              <w:rPr>
                <w:sz w:val="17"/>
              </w:rPr>
            </w:r>
          </w:p>
        </w:tc>
        <w:tc>
          <w:tcPr>
            <w:tcW w:type="dxa" w:w="2556"/>
          </w:tcPr>
          <w:p>
            <w:r/>
            <w:r>
              <w:rPr>
                <w:sz w:val="17"/>
              </w:rPr>
            </w:r>
          </w:p>
        </w:tc>
      </w:tr>
      <w:tr>
        <w:tc>
          <w:tcPr>
            <w:tcW w:type="dxa" w:w="2556"/>
          </w:tcPr>
          <w:p>
            <w:r/>
            <w:r>
              <w:rPr>
                <w:sz w:val="17"/>
              </w:rPr>
              <w:t>18 to 25</w:t>
            </w:r>
          </w:p>
        </w:tc>
        <w:tc>
          <w:tcPr>
            <w:tcW w:type="dxa" w:w="2556"/>
          </w:tcPr>
          <w:p>
            <w:r/>
            <w:r>
              <w:rPr>
                <w:sz w:val="17"/>
              </w:rPr>
            </w:r>
          </w:p>
        </w:tc>
        <w:tc>
          <w:tcPr>
            <w:tcW w:type="dxa" w:w="2556"/>
          </w:tcPr>
          <w:p>
            <w:r/>
            <w:r>
              <w:rPr>
                <w:sz w:val="17"/>
              </w:rPr>
            </w:r>
          </w:p>
        </w:tc>
        <w:tc>
          <w:tcPr>
            <w:tcW w:type="dxa" w:w="2556"/>
          </w:tcPr>
          <w:p>
            <w:r/>
            <w:r>
              <w:rPr>
                <w:sz w:val="17"/>
              </w:rPr>
            </w:r>
          </w:p>
        </w:tc>
      </w:tr>
      <w:tr>
        <w:tc>
          <w:tcPr>
            <w:tcW w:type="dxa" w:w="2556"/>
          </w:tcPr>
          <w:p>
            <w:r/>
            <w:r>
              <w:rPr>
                <w:sz w:val="17"/>
              </w:rPr>
              <w:t>25 to 35</w:t>
            </w:r>
          </w:p>
        </w:tc>
        <w:tc>
          <w:tcPr>
            <w:tcW w:type="dxa" w:w="2556"/>
          </w:tcPr>
          <w:p>
            <w:r/>
            <w:r>
              <w:rPr>
                <w:sz w:val="17"/>
              </w:rPr>
            </w:r>
          </w:p>
        </w:tc>
        <w:tc>
          <w:tcPr>
            <w:tcW w:type="dxa" w:w="2556"/>
          </w:tcPr>
          <w:p>
            <w:r/>
            <w:r>
              <w:rPr>
                <w:sz w:val="17"/>
              </w:rPr>
            </w:r>
          </w:p>
        </w:tc>
        <w:tc>
          <w:tcPr>
            <w:tcW w:type="dxa" w:w="2556"/>
          </w:tcPr>
          <w:p>
            <w:r/>
            <w:r>
              <w:rPr>
                <w:sz w:val="17"/>
              </w:rPr>
            </w:r>
          </w:p>
        </w:tc>
      </w:tr>
      <w:tr>
        <w:tc>
          <w:tcPr>
            <w:tcW w:type="dxa" w:w="2556"/>
          </w:tcPr>
          <w:p>
            <w:r/>
            <w:r>
              <w:rPr>
                <w:sz w:val="17"/>
              </w:rPr>
              <w:t>35 onwards</w:t>
            </w:r>
          </w:p>
        </w:tc>
        <w:tc>
          <w:tcPr>
            <w:tcW w:type="dxa" w:w="2556"/>
          </w:tcPr>
          <w:p>
            <w:r/>
            <w:r>
              <w:rPr>
                <w:sz w:val="17"/>
              </w:rPr>
            </w:r>
          </w:p>
        </w:tc>
        <w:tc>
          <w:tcPr>
            <w:tcW w:type="dxa" w:w="2556"/>
          </w:tcPr>
          <w:p>
            <w:r/>
            <w:r>
              <w:rPr>
                <w:sz w:val="17"/>
              </w:rPr>
            </w:r>
          </w:p>
        </w:tc>
        <w:tc>
          <w:tcPr>
            <w:tcW w:type="dxa" w:w="2556"/>
          </w:tcPr>
          <w:p>
            <w:r/>
            <w:r>
              <w:rPr>
                <w:sz w:val="17"/>
              </w:rPr>
            </w:r>
          </w:p>
        </w:tc>
      </w:tr>
    </w:tbl>
    <w:p>
      <w:pPr>
        <w:spacing w:after="40"/>
      </w:pPr>
    </w:p>
    <w:p>
      <w:pPr>
        <w:pStyle w:val="Heading1"/>
      </w:pPr>
      <w:r>
        <w:t>Documents checklist: what to bring</w:t>
      </w:r>
    </w:p>
    <w:p>
      <w:pPr>
        <w:pStyle w:val="ListBullet"/>
      </w:pPr>
      <w:r>
        <w:t>☐  Completed self report workbook, Questions 1 to 100</w:t>
      </w:r>
    </w:p>
    <w:p>
      <w:pPr>
        <w:pStyle w:val="ListBullet"/>
      </w:pPr>
      <w:r>
        <w:t>☐  Completed informant report, or the name and contact details of your informant and the date you gave them the form</w:t>
      </w:r>
    </w:p>
    <w:p>
      <w:pPr>
        <w:pStyle w:val="ListBullet"/>
      </w:pPr>
      <w:r>
        <w:t>☐  GP summary checklist on the previous pages, or a patient summary from your GP practice</w:t>
      </w:r>
    </w:p>
    <w:p>
      <w:pPr>
        <w:pStyle w:val="ListBullet"/>
      </w:pPr>
      <w:r>
        <w:t>☐  School reports, especially primary school reports with teacher comments</w:t>
      </w:r>
    </w:p>
    <w:p>
      <w:pPr>
        <w:pStyle w:val="ListBullet"/>
      </w:pPr>
      <w:r>
        <w:t>☐  Any educational psychology, speech and language, occupational therapy or previous mental health reports</w:t>
      </w:r>
    </w:p>
    <w:p>
      <w:pPr>
        <w:pStyle w:val="ListBullet"/>
      </w:pPr>
      <w:r>
        <w:t>☐  Work appraisals, occupational health reports or records of workplace adjustments, if relevant and if you are willing to share them</w:t>
      </w:r>
    </w:p>
    <w:p>
      <w:pPr>
        <w:pStyle w:val="ListBullet"/>
      </w:pPr>
      <w:r>
        <w:t>☐  A list of current medicines, doses and allergies</w:t>
      </w:r>
    </w:p>
    <w:p>
      <w:pPr>
        <w:pStyle w:val="ListBullet"/>
      </w:pPr>
      <w:r>
        <w:t>☐  Recent blood pressure, pulse, height and weight readings if you have them</w:t>
      </w:r>
    </w:p>
    <w:p>
      <w:pPr>
        <w:pStyle w:val="ListBullet"/>
      </w:pPr>
      <w:r>
        <w:t>☐  Photo identification and proof of address if your provider has asked for them</w:t>
      </w:r>
    </w:p>
    <w:p>
      <w:pPr>
        <w:pStyle w:val="ListBullet"/>
      </w:pPr>
      <w:r>
        <w:t>☐  Your questions for the clinician, written down in advance</w:t>
      </w:r>
    </w:p>
    <w:p>
      <w:pPr>
        <w:pStyle w:val="Heading1"/>
      </w:pPr>
      <w:r>
        <w:t>Questions to ask at the end of the assessment</w:t>
      </w:r>
    </w:p>
    <w:p>
      <w:pPr>
        <w:pStyle w:val="ListNumber"/>
        <w:spacing w:after="40"/>
      </w:pPr>
      <w:r>
        <w:t>Do I meet criteria for ADHD, and if so which presentation: predominantly inattentive, predominantly hyperactive and impulsive, or combined</w:t>
      </w:r>
    </w:p>
    <w:p>
      <w:pPr>
        <w:pStyle w:val="ListNumber"/>
        <w:spacing w:after="40"/>
      </w:pPr>
      <w:r>
        <w:t>If not, what best explains my symptoms, and what assessment or support do you recommend instead</w:t>
      </w:r>
    </w:p>
    <w:p>
      <w:pPr>
        <w:pStyle w:val="ListNumber"/>
        <w:spacing w:after="40"/>
      </w:pPr>
      <w:r>
        <w:t>Did you have enough childhood evidence and collateral, and would anything else help</w:t>
      </w:r>
    </w:p>
    <w:p>
      <w:pPr>
        <w:pStyle w:val="ListNumber"/>
        <w:spacing w:after="40"/>
      </w:pPr>
      <w:r>
        <w:t>What happens next, who will write to my GP, and how long will the report take</w:t>
      </w:r>
    </w:p>
    <w:p>
      <w:pPr>
        <w:pStyle w:val="ListNumber"/>
        <w:spacing w:after="40"/>
      </w:pPr>
      <w:r>
        <w:t>If medication is recommended, what are the options, the titration plan, the monitoring plan and the shared care plan</w:t>
      </w:r>
    </w:p>
    <w:p>
      <w:pPr>
        <w:pStyle w:val="ListNumber"/>
        <w:spacing w:after="40"/>
      </w:pPr>
      <w:r>
        <w:t>What non medication support do you recommend, and how do I access it</w:t>
      </w:r>
    </w:p>
    <w:p>
      <w:pPr>
        <w:pStyle w:val="ListNumber"/>
        <w:spacing w:after="40"/>
      </w:pPr>
      <w:r>
        <w:t>Who do I contact if my mental health worsens while I wait</w:t>
      </w:r>
    </w:p>
    <w:p>
      <w:pPr>
        <w:pStyle w:val="Heading1"/>
      </w:pPr>
      <w:r>
        <w:t>If you are in crisis</w:t>
      </w:r>
    </w:p>
    <w:p>
      <w:pPr>
        <w:spacing w:after="100"/>
      </w:pPr>
      <w:r>
        <w:rPr>
          <w:b w:val="0"/>
          <w:i w:val="0"/>
          <w:sz w:val="20"/>
        </w:rPr>
        <w:t>This pack is not a crisis service. If you are at risk of harming yourself, contact your GP, NHS 111, your local crisis team or emergency services on 999 in the United Kingdom, or go to your nearest emergency department. You can contact Samaritans at any time on 116 123 in the United Kingdom and Ireland. Tell the assessing provider if your risk changes while you are waiting.</w:t>
      </w:r>
    </w:p>
    <w:p>
      <w:pPr>
        <w:pStyle w:val="Heading1"/>
      </w:pPr>
      <w:r>
        <w:t>Sources and further reading</w:t>
      </w:r>
    </w:p>
    <w:p>
      <w:pPr>
        <w:spacing w:after="100"/>
      </w:pPr>
      <w:r>
        <w:rPr>
          <w:b w:val="0"/>
          <w:i w:val="0"/>
          <w:sz w:val="18"/>
        </w:rPr>
        <w:t>National Institute for Health and Care Excellence. Attention deficit hyperactivity disorder: diagnosis and management. NICE Guideline NG87.</w:t>
      </w:r>
    </w:p>
    <w:p>
      <w:pPr>
        <w:spacing w:after="100"/>
      </w:pPr>
      <w:r>
        <w:rPr>
          <w:b w:val="0"/>
          <w:i w:val="0"/>
          <w:sz w:val="18"/>
        </w:rPr>
        <w:t>National Health Service. Attention deficit hyperactivity disorder in adults, and in children and young people. NHS conditions pages.</w:t>
      </w:r>
    </w:p>
    <w:p>
      <w:pPr>
        <w:spacing w:after="100"/>
      </w:pPr>
      <w:r>
        <w:rPr>
          <w:b w:val="0"/>
          <w:i w:val="0"/>
          <w:sz w:val="18"/>
        </w:rPr>
        <w:t>World Health Organization and Harvard Medical School. Adult ADHD Self Report Scale, version 1.1, symptom checklist and screener.</w:t>
      </w:r>
    </w:p>
    <w:p>
      <w:pPr>
        <w:spacing w:after="100"/>
      </w:pPr>
      <w:r>
        <w:rPr>
          <w:b w:val="0"/>
          <w:i w:val="0"/>
          <w:sz w:val="18"/>
        </w:rPr>
        <w:t>American Psychiatric Association. Diagnostic and Statistical Manual of Mental Disorders, Fifth Edition, Text Revision, ADHD criteria.</w:t>
      </w:r>
    </w:p>
    <w:p>
      <w:pPr>
        <w:spacing w:after="100"/>
      </w:pPr>
      <w:r>
        <w:rPr>
          <w:b w:val="0"/>
          <w:i w:val="0"/>
          <w:sz w:val="18"/>
        </w:rPr>
        <w:t>Centers for Disease Control and Prevention. Attention deficit hyperactivity disorder, diagnosis and treatment information.</w:t>
      </w:r>
    </w:p>
    <w:p>
      <w:pPr>
        <w:spacing w:after="100"/>
      </w:pPr>
      <w:r>
        <w:rPr>
          <w:b w:val="0"/>
          <w:i w:val="0"/>
          <w:sz w:val="18"/>
        </w:rPr>
        <w:t>Psychiatry UK assessment model, system pressures, safeguarding and medication monitoring: clinical overview attributed to Dr Lucy Baker, supplied by the reader for this pack. Provider specific details, waiting time figures, referral totals, cost estimates and team size are reproduced as reported in that overview and should be checked with the provider and your local Integrated Care Board for current figures.</w:t>
      </w:r>
    </w:p>
    <w:p>
      <w:pPr>
        <w:spacing w:after="100"/>
      </w:pPr>
      <w:r>
        <w:rPr>
          <w:b w:val="0"/>
          <w:i w:val="0"/>
          <w:sz w:val="18"/>
        </w:rPr>
        <w:t>On IQ testing: Wechsler Adult Intelligence Scale, Fourth Edition; Wechsler Intelligence Scale for Children, Fifth Edition; Stanford Binet, Fifth Edition; Raven Progressive Matrices, Second Edition. These are standardised, norm referenced tests administered by trained psychologists. Short online quizzes are not IQ tests and do not produce a valid IQ score.</w:t>
      </w:r>
    </w:p>
    <w:p>
      <w:pPr>
        <w:spacing w:after="100"/>
      </w:pPr>
      <w:r>
        <w:rPr>
          <w:b w:val="0"/>
          <w:i/>
          <w:color w:val="4A5568"/>
          <w:sz w:val="18"/>
        </w:rPr>
        <w:t>This pack was prepared for information and appointment preparation. It does not replace clinical advice. If anything in this pack conflicts with advice from your own clinician or GP, follow your clinician.</w:t>
      </w:r>
    </w:p>
    <w:sectPr w:rsidR="00FC693F" w:rsidRPr="0006063C" w:rsidSect="00034616">
      <w:footerReference w:type="default" r:id="rId9"/>
      <w:headerReference w:type="default" r:id="rId10"/>
      <w:pgSz w:w="12240" w:h="15840"/>
      <w:pgMar w:top="864"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568"/>
        <w:sz w:val="15"/>
      </w:rPr>
      <w:t xml:space="preserve">ADHD Assessment Preparation Pack  •  Preparation only, not a diagnosis  •  Page </w:t>
    </w:r>
    <w:fldChar w:fldCharType="begin"/>
    <w:instrText xml:space="preserve"> PAGE </w:instrText>
    <w:fldChar w:fldCharType="end"/>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pPr>
    <w:r/>
    <w:r>
      <w:drawing>
        <wp:inline xmlns:a="http://schemas.openxmlformats.org/drawingml/2006/main" xmlns:pic="http://schemas.openxmlformats.org/drawingml/2006/picture">
          <wp:extent cx="274320" cy="274320"/>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74320" cy="274320"/>
                  </a:xfrm>
                  <a:prstGeom prst="rect"/>
                </pic:spPr>
              </pic:pic>
            </a:graphicData>
          </a:graphic>
        </wp:inline>
      </w:drawing>
    </w:r>
    <w:r>
      <w:rPr>
        <w:b/>
        <w:sz w:val="20"/>
      </w:rPr>
      <w:t xml:space="preserve">  Clairemind</w:t>
    </w:r>
    <w:r>
      <w:rPr>
        <w:sz w:val="16"/>
      </w:rPr>
      <w:tab/>
      <w:t>www.clairemind.org  ·  support@clairemind.org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Calibri" w:hAnsi="Calibri"/>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b/>
      <w:bCs/>
      <w:color w:val="0F3B5C"/>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F3B5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F6BA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Assessment Preparation Pack</dc:title>
  <dc:subject>Preparation workbook for an NHS ADHD assessment aligned to NICE NG87</dc:subject>
  <dc:creator>Prepared from WHO, NHS, NICE and DSM 5 TR sources</dc:creator>
  <cp:keywords/>
  <dc:description>generated by python-docx</dc:description>
  <cp:lastModifiedBy/>
  <cp:revision>1</cp:revision>
  <dcterms:created xsi:type="dcterms:W3CDTF">2013-12-23T23:15:00Z</dcterms:created>
  <dcterms:modified xsi:type="dcterms:W3CDTF">2013-12-23T23:15:00Z</dcterms:modified>
  <cp:category/>
</cp:coreProperties>
</file>